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Calibri" w:cs="Calibri" w:eastAsia="Calibri" w:hAnsi="Calibri"/>
          <w:b/>
          <w:bCs/>
          <w:color w:val="0093A8"/>
          <w:sz w:val="32"/>
          <w:szCs w:val="32"/>
        </w:rPr>
        <w:t xml:space="preserve">PRINT TO FRAME ERP SYSTEM</w:t>
      </w:r>
    </w:p>
    <w:p>
      <w:pPr>
        <w:spacing w:after="160"/>
        <w:jc w:val="center"/>
      </w:pPr>
      <w:r>
        <w:rPr>
          <w:rFonts w:ascii="Calibri" w:cs="Calibri" w:eastAsia="Calibri" w:hAnsi="Calibri"/>
          <w:b/>
          <w:bCs/>
          <w:color w:val="0F172A"/>
          <w:sz w:val="26"/>
          <w:szCs w:val="26"/>
        </w:rPr>
        <w:t xml:space="preserve">Frontend UI/UX Standardization &amp; Universal Data Synchronization Comprehensive Audit Report</w:t>
      </w:r>
    </w:p>
    <w:p>
      <w:pPr>
        <w:spacing w:after="280"/>
        <w:jc w:val="center"/>
      </w:pPr>
      <w:r>
        <w:rPr>
          <w:rFonts w:ascii="Calibri" w:cs="Calibri" w:eastAsia="Calibri" w:hAnsi="Calibri"/>
          <w:i/>
          <w:iCs/>
          <w:color w:val="64748B"/>
          <w:sz w:val="20"/>
          <w:szCs w:val="20"/>
        </w:rPr>
        <w:t xml:space="preserve">Codebase Deep-Dive Inspection Findings, Relational Integrity Analysis &amp; Remediation Blueprint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F172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Document ID</w:t>
            </w:r>
          </w:p>
        </w:tc>
        <w:tc>
          <w:tcPr>
            <w:tcW w:type="pct" w:w="25%"/>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PTF-AUDIT-REPORT-2026-09-09</w:t>
            </w:r>
          </w:p>
        </w:tc>
        <w:tc>
          <w:tcPr>
            <w:tcW w:type="pct" w:w="25%"/>
            <w:shd w:fill="0F172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Framework</w:t>
            </w:r>
          </w:p>
        </w:tc>
        <w:tc>
          <w:tcPr>
            <w:tcW w:type="pct" w:w="25%"/>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React 18 + Vite + Tailwind + Firebase</w:t>
            </w:r>
          </w:p>
        </w:tc>
      </w:tr>
      <w:tr>
        <w:tc>
          <w:tcPr>
            <w:tcW w:type="pct" w:w="25%"/>
            <w:shd w:fill="0F172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Audit Date</w:t>
            </w:r>
          </w:p>
        </w:tc>
        <w:tc>
          <w:tcPr>
            <w:tcW w:type="pct" w:w="25%"/>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2026-09-09</w:t>
            </w:r>
          </w:p>
        </w:tc>
        <w:tc>
          <w:tcPr>
            <w:tcW w:type="pct" w:w="25%"/>
            <w:shd w:fill="0F172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Audited Modules</w:t>
            </w:r>
          </w:p>
        </w:tc>
        <w:tc>
          <w:tcPr>
            <w:tcW w:type="pct" w:w="25%"/>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CRM, Operations, Tools, Admin, Common UI</w:t>
            </w:r>
          </w:p>
        </w:tc>
      </w:tr>
      <w:tr>
        <w:tc>
          <w:tcPr>
            <w:tcW w:type="pct" w:w="25%"/>
            <w:shd w:fill="0F172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Total Findings</w:t>
            </w:r>
          </w:p>
        </w:tc>
        <w:tc>
          <w:tcPr>
            <w:tcW w:type="pct" w:w="25%"/>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12 Issues (2 P1, 4 P2, 4 P3, 2 P4)</w:t>
            </w:r>
          </w:p>
        </w:tc>
        <w:tc>
          <w:tcPr>
            <w:tcW w:type="pct" w:w="25%"/>
            <w:shd w:fill="0F172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Audit Status</w:t>
            </w:r>
          </w:p>
        </w:tc>
        <w:tc>
          <w:tcPr>
            <w:tcW w:type="pct" w:w="25%"/>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Completed Deep Inspection</w:t>
            </w:r>
          </w:p>
        </w:tc>
      </w:tr>
    </w:tbl>
    <w:p>
      <w:pPr>
        <w:spacing w:after="200"/>
      </w:pPr>
    </w:p>
    <w:p>
      <w:pPr>
        <w:pStyle w:val="Heading1"/>
        <w:spacing w:after="140" w:before="280"/>
      </w:pPr>
      <w:r>
        <w:t xml:space="preserve">1. Executive Summary</w:t>
      </w:r>
    </w:p>
    <w:p>
      <w:pPr>
        <w:spacing w:after="120" w:line="276"/>
      </w:pPr>
      <w:r>
        <w:rPr>
          <w:rFonts w:ascii="Calibri" w:cs="Calibri" w:eastAsia="Calibri" w:hAnsi="Calibri"/>
          <w:b w:val="false"/>
          <w:bCs w:val="false"/>
          <w:color w:val="1E293B"/>
          <w:sz w:val="22"/>
          <w:szCs w:val="22"/>
        </w:rPr>
        <w:t xml:space="preserve">This report documents the results of a comprehensive static and architectural audit of the Print To Frame ERP frontend codebase. Across 23 primary JSX files, data synchronization services, and design tokens, the audit identified 12 actionable findings categorized into Frontend UI/UX Standardization Gaps and Universal Data Synchronization Vulnerabilities.</w:t>
      </w:r>
    </w:p>
    <w:p>
      <w:pPr>
        <w:spacing w:after="120" w:line="276"/>
      </w:pPr>
      <w:r>
        <w:rPr>
          <w:rFonts w:ascii="Calibri" w:cs="Calibri" w:eastAsia="Calibri" w:hAnsi="Calibri"/>
          <w:b w:val="false"/>
          <w:bCs w:val="false"/>
          <w:color w:val="1E293B"/>
          <w:sz w:val="22"/>
          <w:szCs w:val="22"/>
        </w:rPr>
        <w:t xml:space="preserve">The system possesses a robust foundation in its Material Design Tailwind tokens, real-time Firestore listeners, centralized RBAC matrix, and shared UI primitives (PageHeader, FilterBar, StatusBadge, UserAvatar). However, rapid feature development introduced conversion ID fragmentation, case-sensitive unread message counter bugs, light-mode contrast failures, and mobile master-detail discrepancies that require targeted remediation.</w:t>
      </w:r>
    </w:p>
    <w:p>
      <w:pPr>
        <w:pStyle w:val="Heading1"/>
        <w:spacing w:after="140" w:before="280"/>
      </w:pPr>
      <w:r>
        <w:t xml:space="preserve">2. Findings Summary &amp; Severity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shd w:fill="0F172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Ref ID</w:t>
            </w:r>
          </w:p>
        </w:tc>
        <w:tc>
          <w:tcPr>
            <w:tcW w:type="pct" w:w="14%"/>
            <w:shd w:fill="0F172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Severity</w:t>
            </w:r>
          </w:p>
        </w:tc>
        <w:tc>
          <w:tcPr>
            <w:tcW w:type="pct" w:w="44%"/>
            <w:shd w:fill="0F172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Finding Title &amp; Target Code</w:t>
            </w:r>
          </w:p>
        </w:tc>
        <w:tc>
          <w:tcPr>
            <w:tcW w:type="pct" w:w="30%"/>
            <w:shd w:fill="0F172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Domain</w:t>
            </w:r>
          </w:p>
        </w:tc>
      </w:tr>
      <w:tr>
        <w:tc>
          <w:tcPr>
            <w:tcW w:type="pct" w:w="12%"/>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F-01</w:t>
            </w:r>
          </w:p>
        </w:tc>
        <w:tc>
          <w:tcPr>
            <w:tcW w:type="pct" w:w="14%"/>
            <w:shd w:fill="FEE2E2"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P1 - Critical</w:t>
            </w:r>
          </w:p>
        </w:tc>
        <w:tc>
          <w:tcPr>
            <w:tcW w:type="pct" w:w="44%"/>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Entity Conversion ID Fragmentation (Leads.jsx, Deals.jsx, App.jsx)</w:t>
            </w:r>
          </w:p>
        </w:tc>
        <w:tc>
          <w:tcPr>
            <w:tcW w:type="pct" w:w="30%"/>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Universal Sync (CRM Lifecycle)</w:t>
            </w:r>
          </w:p>
        </w:tc>
      </w:tr>
      <w:tr>
        <w:tc>
          <w:tcPr>
            <w:tcW w:type="pct" w:w="12%"/>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F-02</w:t>
            </w:r>
          </w:p>
        </w:tc>
        <w:tc>
          <w:tcPr>
            <w:tcW w:type="pct" w:w="14%"/>
            <w:shd w:fill="FEE2E2"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P1 - Critical</w:t>
            </w:r>
          </w:p>
        </w:tc>
        <w:tc>
          <w:tcPr>
            <w:tcW w:type="pct" w:w="44%"/>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Case-Sensitivity Mismatch Dropping Unread Badges (MessagingContext.jsx)</w:t>
            </w:r>
          </w:p>
        </w:tc>
        <w:tc>
          <w:tcPr>
            <w:tcW w:type="pct" w:w="30%"/>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Universal Sync (Messaging)</w:t>
            </w:r>
          </w:p>
        </w:tc>
      </w:tr>
      <w:tr>
        <w:tc>
          <w:tcPr>
            <w:tcW w:type="pct" w:w="12%"/>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F-03</w:t>
            </w:r>
          </w:p>
        </w:tc>
        <w:tc>
          <w:tcPr>
            <w:tcW w:type="pct" w:w="14%"/>
            <w:shd w:fill="FEF3C7"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P2 - High</w:t>
            </w:r>
          </w:p>
        </w:tc>
        <w:tc>
          <w:tcPr>
            <w:tcW w:type="pct" w:w="44%"/>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Light Mode WCAG AA Contrast Failures in Status Text (Invoices, Quotations)</w:t>
            </w:r>
          </w:p>
        </w:tc>
        <w:tc>
          <w:tcPr>
            <w:tcW w:type="pct" w:w="30%"/>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UI/UX Standardization (Theming)</w:t>
            </w:r>
          </w:p>
        </w:tc>
      </w:tr>
      <w:tr>
        <w:tc>
          <w:tcPr>
            <w:tcW w:type="pct" w:w="12%"/>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F-04</w:t>
            </w:r>
          </w:p>
        </w:tc>
        <w:tc>
          <w:tcPr>
            <w:tcW w:type="pct" w:w="14%"/>
            <w:shd w:fill="FEF3C7"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P2 - High</w:t>
            </w:r>
          </w:p>
        </w:tc>
        <w:tc>
          <w:tcPr>
            <w:tcW w:type="pct" w:w="44%"/>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Missing PageHeader in Cost Calculator &amp; Quotation Builder</w:t>
            </w:r>
          </w:p>
        </w:tc>
        <w:tc>
          <w:tcPr>
            <w:tcW w:type="pct" w:w="30%"/>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UI/UX Standardization (Headers)</w:t>
            </w:r>
          </w:p>
        </w:tc>
      </w:tr>
      <w:tr>
        <w:tc>
          <w:tcPr>
            <w:tcW w:type="pct" w:w="12%"/>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F-05</w:t>
            </w:r>
          </w:p>
        </w:tc>
        <w:tc>
          <w:tcPr>
            <w:tcW w:type="pct" w:w="14%"/>
            <w:shd w:fill="FEF3C7"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P2 - High</w:t>
            </w:r>
          </w:p>
        </w:tc>
        <w:tc>
          <w:tcPr>
            <w:tcW w:type="pct" w:w="44%"/>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Master-Detail Mobile Viewport Omission in Invoices.jsx</w:t>
            </w:r>
          </w:p>
        </w:tc>
        <w:tc>
          <w:tcPr>
            <w:tcW w:type="pct" w:w="30%"/>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UI/UX Standardization (Mobile)</w:t>
            </w:r>
          </w:p>
        </w:tc>
      </w:tr>
      <w:tr>
        <w:tc>
          <w:tcPr>
            <w:tcW w:type="pct" w:w="12%"/>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F-06</w:t>
            </w:r>
          </w:p>
        </w:tc>
        <w:tc>
          <w:tcPr>
            <w:tcW w:type="pct" w:w="14%"/>
            <w:shd w:fill="FEF3C7"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P2 - High</w:t>
            </w:r>
          </w:p>
        </w:tc>
        <w:tc>
          <w:tcPr>
            <w:tcW w:type="pct" w:w="44%"/>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Loose String Relational Matching in Customer Profile Sync (Customers.jsx)</w:t>
            </w:r>
          </w:p>
        </w:tc>
        <w:tc>
          <w:tcPr>
            <w:tcW w:type="pct" w:w="30%"/>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Universal Sync (Relational IDs)</w:t>
            </w:r>
          </w:p>
        </w:tc>
      </w:tr>
      <w:tr>
        <w:tc>
          <w:tcPr>
            <w:tcW w:type="pct" w:w="12%"/>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F-07</w:t>
            </w:r>
          </w:p>
        </w:tc>
        <w:tc>
          <w:tcPr>
            <w:tcW w:type="pct" w:w="14%"/>
            <w:shd w:fill="E0F2FE"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P3 - Moderate</w:t>
            </w:r>
          </w:p>
        </w:tc>
        <w:tc>
          <w:tcPr>
            <w:tcW w:type="pct" w:w="44%"/>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Underutilization of SortableTable Primitive (Partners, Permissions)</w:t>
            </w:r>
          </w:p>
        </w:tc>
        <w:tc>
          <w:tcPr>
            <w:tcW w:type="pct" w:w="30%"/>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UI/UX Standardization (Tables)</w:t>
            </w:r>
          </w:p>
        </w:tc>
      </w:tr>
      <w:tr>
        <w:tc>
          <w:tcPr>
            <w:tcW w:type="pct" w:w="12%"/>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F-08</w:t>
            </w:r>
          </w:p>
        </w:tc>
        <w:tc>
          <w:tcPr>
            <w:tcW w:type="pct" w:w="14%"/>
            <w:shd w:fill="E0F2FE"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P3 - Moderate</w:t>
            </w:r>
          </w:p>
        </w:tc>
        <w:tc>
          <w:tcPr>
            <w:tcW w:type="pct" w:w="44%"/>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Monolithic File Complexity in LeadCardDetails.jsx (1,893 lines, 85KB)</w:t>
            </w:r>
          </w:p>
        </w:tc>
        <w:tc>
          <w:tcPr>
            <w:tcW w:type="pct" w:w="30%"/>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Architecture &amp; Maintainability</w:t>
            </w:r>
          </w:p>
        </w:tc>
      </w:tr>
      <w:tr>
        <w:tc>
          <w:tcPr>
            <w:tcW w:type="pct" w:w="12%"/>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F-09</w:t>
            </w:r>
          </w:p>
        </w:tc>
        <w:tc>
          <w:tcPr>
            <w:tcW w:type="pct" w:w="14%"/>
            <w:shd w:fill="E0F2FE"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P3 - Moderate</w:t>
            </w:r>
          </w:p>
        </w:tc>
        <w:tc>
          <w:tcPr>
            <w:tcW w:type="pct" w:w="44%"/>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Cross-Collection User Profile Drift (UserProfile.jsx vs Partners/Customers)</w:t>
            </w:r>
          </w:p>
        </w:tc>
        <w:tc>
          <w:tcPr>
            <w:tcW w:type="pct" w:w="30%"/>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Universal Sync (User Profile)</w:t>
            </w:r>
          </w:p>
        </w:tc>
      </w:tr>
      <w:tr>
        <w:tc>
          <w:tcPr>
            <w:tcW w:type="pct" w:w="12%"/>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F-10</w:t>
            </w:r>
          </w:p>
        </w:tc>
        <w:tc>
          <w:tcPr>
            <w:tcW w:type="pct" w:w="14%"/>
            <w:shd w:fill="E0F2FE"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P3 - Moderate</w:t>
            </w:r>
          </w:p>
        </w:tc>
        <w:tc>
          <w:tcPr>
            <w:tcW w:type="pct" w:w="44%"/>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Inconsistent Timestamp Serialization (serverTimestamp vs ISO String)</w:t>
            </w:r>
          </w:p>
        </w:tc>
        <w:tc>
          <w:tcPr>
            <w:tcW w:type="pct" w:w="30%"/>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Universal Sync (Data Services)</w:t>
            </w:r>
          </w:p>
        </w:tc>
      </w:tr>
      <w:tr>
        <w:tc>
          <w:tcPr>
            <w:tcW w:type="pct" w:w="12%"/>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F-11</w:t>
            </w:r>
          </w:p>
        </w:tc>
        <w:tc>
          <w:tcPr>
            <w:tcW w:type="pct" w:w="14%"/>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P4 - Minor</w:t>
            </w:r>
          </w:p>
        </w:tc>
        <w:tc>
          <w:tcPr>
            <w:tcW w:type="pct" w:w="44%"/>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Notifications Clear-All State Desync (NotificationsView.jsx)</w:t>
            </w:r>
          </w:p>
        </w:tc>
        <w:tc>
          <w:tcPr>
            <w:tcW w:type="pct" w:w="30%"/>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UI/UX Polish (Notifications)</w:t>
            </w:r>
          </w:p>
        </w:tc>
      </w:tr>
      <w:tr>
        <w:tc>
          <w:tcPr>
            <w:tcW w:type="pct" w:w="12%"/>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F-12</w:t>
            </w:r>
          </w:p>
        </w:tc>
        <w:tc>
          <w:tcPr>
            <w:tcW w:type="pct" w:w="14%"/>
            <w:shd w:fill="F8FAFC" w:val="clear"/>
            <w:tcMar>
              <w:top w:type="dxa" w:w="100"/>
              <w:left w:type="dxa" w:w="120"/>
              <w:bottom w:type="dxa" w:w="100"/>
              <w:right w:type="dxa" w:w="120"/>
            </w:tcMar>
          </w:tcPr>
          <w:p>
            <w:pPr>
              <w:jc w:val="left"/>
            </w:pPr>
            <w:r>
              <w:rPr>
                <w:rFonts w:ascii="Calibri" w:cs="Calibri" w:eastAsia="Calibri" w:hAnsi="Calibri"/>
                <w:b/>
                <w:bCs/>
                <w:color w:val="1E293B"/>
                <w:sz w:val="19"/>
                <w:szCs w:val="19"/>
              </w:rPr>
              <w:t xml:space="preserve">P4 - Minor</w:t>
            </w:r>
          </w:p>
        </w:tc>
        <w:tc>
          <w:tcPr>
            <w:tcW w:type="pct" w:w="44%"/>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Ad-Hoc Cyan RGBA Shadow Definitions in Cost Calculator and Fabrication</w:t>
            </w:r>
          </w:p>
        </w:tc>
        <w:tc>
          <w:tcPr>
            <w:tcW w:type="pct" w:w="30%"/>
            <w:shd w:fill="F8FAFC" w:val="clear"/>
            <w:tcMar>
              <w:top w:type="dxa" w:w="100"/>
              <w:left w:type="dxa" w:w="120"/>
              <w:bottom w:type="dxa" w:w="100"/>
              <w:right w:type="dxa" w:w="120"/>
            </w:tcMar>
          </w:tcPr>
          <w:p>
            <w:pPr>
              <w:jc w:val="left"/>
            </w:pPr>
            <w:r>
              <w:rPr>
                <w:rFonts w:ascii="Calibri" w:cs="Calibri" w:eastAsia="Calibri" w:hAnsi="Calibri"/>
                <w:b w:val="false"/>
                <w:bCs w:val="false"/>
                <w:color w:val="1E293B"/>
                <w:sz w:val="19"/>
                <w:szCs w:val="19"/>
              </w:rPr>
              <w:t xml:space="preserve">UI/UX Polish (Design Tokens)</w:t>
            </w:r>
          </w:p>
        </w:tc>
      </w:tr>
    </w:tbl>
    <w:p>
      <w:pPr>
        <w:spacing w:after="200"/>
      </w:pPr>
    </w:p>
    <w:p>
      <w:pPr>
        <w:pStyle w:val="Heading1"/>
        <w:spacing w:after="140" w:before="280"/>
      </w:pPr>
      <w:r>
        <w:t xml:space="preserve">3. In-Depth Analysis of Key Findings</w:t>
      </w:r>
    </w:p>
    <w:p>
      <w:pPr>
        <w:pStyle w:val="Heading2"/>
        <w:spacing w:after="140" w:before="280"/>
      </w:pPr>
      <w:r>
        <w:t xml:space="preserve">F-01: Entity Conversion ID Fragmentation (P1 - Critical)</w:t>
      </w:r>
    </w:p>
    <w:p>
      <w:pPr>
        <w:spacing w:after="120" w:line="276"/>
      </w:pPr>
      <w:r>
        <w:rPr>
          <w:rFonts w:ascii="Calibri" w:cs="Calibri" w:eastAsia="Calibri" w:hAnsi="Calibri"/>
          <w:b w:val="false"/>
          <w:bCs w:val="false"/>
          <w:color w:val="1E293B"/>
          <w:sz w:val="22"/>
          <w:szCs w:val="22"/>
        </w:rPr>
        <w:t xml:space="preserve">When an inquiry converts from Lead to Deal in Leads.jsx (line 496), a new ID is assigned (id: generateDealId()) while the old ID is preserved in originalLeadId. Prior invoices, quotations, and logistics dispatches carry the old leadId, whereas records generated after conversion carry the new dealId.</w:t>
      </w:r>
    </w:p>
    <w:p>
      <w:pPr>
        <w:spacing w:after="120" w:line="276"/>
      </w:pPr>
      <w:r>
        <w:rPr>
          <w:rFonts w:ascii="Calibri" w:cs="Calibri" w:eastAsia="Calibri" w:hAnsi="Calibri"/>
          <w:b w:val="false"/>
          <w:bCs w:val="false"/>
          <w:color w:val="1E293B"/>
          <w:sz w:val="22"/>
          <w:szCs w:val="22"/>
        </w:rPr>
        <w:t xml:space="preserve">Consequently, consuming components across CRM, Logistics, and Billing must implement multi-clause conditional lookups (e.g. Deals.jsx line 105: j.dealId === deal.id || j.leadId === deal.id || j.leadId === deal.originalLeadId). If any developer omits originalLeadId, linked records silently vanish.</w:t>
      </w:r>
    </w:p>
    <w:p>
      <w:pPr>
        <w:pStyle w:val="ListParagraph"/>
        <w:numPr>
          <w:ilvl w:val="0"/>
          <w:numId w:val="1"/>
        </w:numPr>
        <w:spacing w:after="80" w:line="260"/>
      </w:pPr>
      <w:r>
        <w:rPr>
          <w:rFonts w:ascii="Calibri" w:cs="Calibri" w:eastAsia="Calibri" w:hAnsi="Calibri"/>
          <w:b/>
          <w:bCs/>
          <w:color w:val="1E293B"/>
          <w:sz w:val="21"/>
          <w:szCs w:val="21"/>
        </w:rPr>
        <w:t xml:space="preserve">Actionable Fix:</w:t>
      </w:r>
      <w:r>
        <w:rPr>
          <w:rFonts w:ascii="Calibri" w:cs="Calibri" w:eastAsia="Calibri" w:hAnsi="Calibri"/>
          <w:color w:val="1E293B"/>
          <w:sz w:val="21"/>
          <w:szCs w:val="21"/>
        </w:rPr>
        <w:t xml:space="preserve"> Remediation: Establish a canonical rootLeadId attached at inquiry creation and permanently preserved across all pipeline stages, backed by a standardized matchesEntity() lookup utility.</w:t>
      </w:r>
    </w:p>
    <w:p>
      <w:pPr>
        <w:pStyle w:val="Heading2"/>
        <w:spacing w:after="140" w:before="280"/>
      </w:pPr>
      <w:r>
        <w:t xml:space="preserve">F-02: Case-Sensitivity Mismatch in Unread Counters (P1 - Critical)</w:t>
      </w:r>
    </w:p>
    <w:p>
      <w:pPr>
        <w:spacing w:after="120" w:line="276"/>
      </w:pPr>
      <w:r>
        <w:rPr>
          <w:rFonts w:ascii="Calibri" w:cs="Calibri" w:eastAsia="Calibri" w:hAnsi="Calibri"/>
          <w:b w:val="false"/>
          <w:bCs w:val="false"/>
          <w:color w:val="1E293B"/>
          <w:sz w:val="22"/>
          <w:szCs w:val="22"/>
        </w:rPr>
        <w:t xml:space="preserve">In MessagingContext.jsx (line 116), unread message counts are stored using the raw user identifier as dictionary keys: counts[u.identifier] = unread. However, in Messages.jsx (lines 205-206), lookups are executed with a strictly lowercased key: unreadCounts[userKey].</w:t>
      </w:r>
    </w:p>
    <w:p>
      <w:pPr>
        <w:spacing w:after="120" w:line="276"/>
      </w:pPr>
      <w:r>
        <w:rPr>
          <w:rFonts w:ascii="Calibri" w:cs="Calibri" w:eastAsia="Calibri" w:hAnsi="Calibri"/>
          <w:b w:val="false"/>
          <w:bCs w:val="false"/>
          <w:color w:val="1E293B"/>
          <w:sz w:val="22"/>
          <w:szCs w:val="22"/>
        </w:rPr>
        <w:t xml:space="preserve">Whenever an employee or contact identifier contains uppercase letters (e.g., Admin@print2frame.xyz or PTF-EMP-01), the key lookup returns undefined, causing unread badge counters to silently drop to zero.</w:t>
      </w:r>
    </w:p>
    <w:p>
      <w:pPr>
        <w:pStyle w:val="ListParagraph"/>
        <w:numPr>
          <w:ilvl w:val="0"/>
          <w:numId w:val="1"/>
        </w:numPr>
        <w:spacing w:after="80" w:line="260"/>
      </w:pPr>
      <w:r>
        <w:rPr>
          <w:rFonts w:ascii="Calibri" w:cs="Calibri" w:eastAsia="Calibri" w:hAnsi="Calibri"/>
          <w:b/>
          <w:bCs/>
          <w:color w:val="1E293B"/>
          <w:sz w:val="21"/>
          <w:szCs w:val="21"/>
        </w:rPr>
        <w:t xml:space="preserve">Actionable Fix:</w:t>
      </w:r>
      <w:r>
        <w:rPr>
          <w:rFonts w:ascii="Calibri" w:cs="Calibri" w:eastAsia="Calibri" w:hAnsi="Calibri"/>
          <w:color w:val="1E293B"/>
          <w:sz w:val="21"/>
          <w:szCs w:val="21"/>
        </w:rPr>
        <w:t xml:space="preserve"> Remediation: Normalize keys in MessagingContext.jsx line 116 with counts[String(u.identifier).trim().toLowerCase()] = unread.</w:t>
      </w:r>
    </w:p>
    <w:p>
      <w:pPr>
        <w:pStyle w:val="Heading2"/>
        <w:spacing w:after="140" w:before="280"/>
      </w:pPr>
      <w:r>
        <w:t xml:space="preserve">F-03: Light Theme WCAG AA Contrast Failures (P2 - High)</w:t>
      </w:r>
    </w:p>
    <w:p>
      <w:pPr>
        <w:spacing w:after="120" w:line="276"/>
      </w:pPr>
      <w:r>
        <w:rPr>
          <w:rFonts w:ascii="Calibri" w:cs="Calibri" w:eastAsia="Calibri" w:hAnsi="Calibri"/>
          <w:b w:val="false"/>
          <w:bCs w:val="false"/>
          <w:color w:val="1E293B"/>
          <w:sz w:val="22"/>
          <w:szCs w:val="22"/>
        </w:rPr>
        <w:t xml:space="preserve">While StatusBadge.jsx properly consumes the semantic status-*-on tokens (which switch to dark 700/800-level shades under light mode), multiple views bypass StatusBadge and use raw Tailwind 400-level palette classes (e.g., text-emerald-400, text-rose-400, text-amber-400 in Invoices.jsx line 543 and QuotationBuilder.jsx line 23).</w:t>
      </w:r>
    </w:p>
    <w:p>
      <w:pPr>
        <w:spacing w:after="120" w:line="276"/>
      </w:pPr>
      <w:r>
        <w:rPr>
          <w:rFonts w:ascii="Calibri" w:cs="Calibri" w:eastAsia="Calibri" w:hAnsi="Calibri"/>
          <w:b w:val="false"/>
          <w:bCs w:val="false"/>
          <w:color w:val="1E293B"/>
          <w:sz w:val="22"/>
          <w:szCs w:val="22"/>
        </w:rPr>
        <w:t xml:space="preserve">Under [data-theme='light'], 400-level text colors exhibit a contrast ratio of ~1.8:1 on light backgrounds, severely failing the WCAG AA minimum threshold of 4.5:1.</w:t>
      </w:r>
    </w:p>
    <w:p>
      <w:pPr>
        <w:pStyle w:val="ListParagraph"/>
        <w:numPr>
          <w:ilvl w:val="0"/>
          <w:numId w:val="1"/>
        </w:numPr>
        <w:spacing w:after="80" w:line="260"/>
      </w:pPr>
      <w:r>
        <w:rPr>
          <w:rFonts w:ascii="Calibri" w:cs="Calibri" w:eastAsia="Calibri" w:hAnsi="Calibri"/>
          <w:b/>
          <w:bCs/>
          <w:color w:val="1E293B"/>
          <w:sz w:val="21"/>
          <w:szCs w:val="21"/>
        </w:rPr>
        <w:t xml:space="preserve">Actionable Fix:</w:t>
      </w:r>
      <w:r>
        <w:rPr>
          <w:rFonts w:ascii="Calibri" w:cs="Calibri" w:eastAsia="Calibri" w:hAnsi="Calibri"/>
          <w:color w:val="1E293B"/>
          <w:sz w:val="21"/>
          <w:szCs w:val="21"/>
        </w:rPr>
        <w:t xml:space="preserve"> Remediation: Replace all raw 400-level status text with StatusBadge or semantic text-status-*-on CSS variable classes.</w:t>
      </w:r>
    </w:p>
    <w:p>
      <w:pPr>
        <w:pStyle w:val="Heading2"/>
        <w:spacing w:after="140" w:before="280"/>
      </w:pPr>
      <w:r>
        <w:t xml:space="preserve">F-04: Missing PageHeader in Cost Calculator &amp; Quotation Builder (P2 - High)</w:t>
      </w:r>
    </w:p>
    <w:p>
      <w:pPr>
        <w:spacing w:after="120" w:line="276"/>
      </w:pPr>
      <w:r>
        <w:rPr>
          <w:rFonts w:ascii="Calibri" w:cs="Calibri" w:eastAsia="Calibri" w:hAnsi="Calibri"/>
          <w:b w:val="false"/>
          <w:bCs w:val="false"/>
          <w:color w:val="1E293B"/>
          <w:sz w:val="22"/>
          <w:szCs w:val="22"/>
        </w:rPr>
        <w:t xml:space="preserve">CostCalculator.jsx (lines 118-138) relies on a custom &lt;h1&gt; and hardcoded h-[calc(100vh-140px)] container instead of the standardized PageHeader primitive. On mobile viewports, this hardcoded height causes clipping because safe area insets and navigation bars differ between devices.</w:t>
      </w:r>
    </w:p>
    <w:p>
      <w:pPr>
        <w:pStyle w:val="ListParagraph"/>
        <w:numPr>
          <w:ilvl w:val="0"/>
          <w:numId w:val="1"/>
        </w:numPr>
        <w:spacing w:after="80" w:line="260"/>
      </w:pPr>
      <w:r>
        <w:rPr>
          <w:rFonts w:ascii="Calibri" w:cs="Calibri" w:eastAsia="Calibri" w:hAnsi="Calibri"/>
          <w:b/>
          <w:bCs/>
          <w:color w:val="1E293B"/>
          <w:sz w:val="21"/>
          <w:szCs w:val="21"/>
        </w:rPr>
        <w:t xml:space="preserve">Actionable Fix:</w:t>
      </w:r>
      <w:r>
        <w:rPr>
          <w:rFonts w:ascii="Calibri" w:cs="Calibri" w:eastAsia="Calibri" w:hAnsi="Calibri"/>
          <w:color w:val="1E293B"/>
          <w:sz w:val="21"/>
          <w:szCs w:val="21"/>
        </w:rPr>
        <w:t xml:space="preserve"> Remediation: Migrate CostCalculator to standard PageHeader with metric pills for Active Tier, Base Rate, and Calculated SqFt.</w:t>
      </w:r>
    </w:p>
    <w:p>
      <w:pPr>
        <w:pStyle w:val="Heading2"/>
        <w:spacing w:after="140" w:before="280"/>
      </w:pPr>
      <w:r>
        <w:t xml:space="preserve">F-05: Invoices Mobile Master-Detail Omission (P2 - High)</w:t>
      </w:r>
    </w:p>
    <w:p>
      <w:pPr>
        <w:spacing w:after="120" w:line="276"/>
      </w:pPr>
      <w:r>
        <w:rPr>
          <w:rFonts w:ascii="Calibri" w:cs="Calibri" w:eastAsia="Calibri" w:hAnsi="Calibri"/>
          <w:b w:val="false"/>
          <w:bCs w:val="false"/>
          <w:color w:val="1E293B"/>
          <w:sz w:val="22"/>
          <w:szCs w:val="22"/>
        </w:rPr>
        <w:t xml:space="preserve">Customers.jsx, Partners.jsx, and Messages.jsx all feature a responsive mobile controller (mobileView === 'list' ? 'hidden lg:block' : 'block') with a 'Back to List' button. In Invoices.jsx (line 468), both columns are stacked vertically on mobile, forcing mobile users to scroll through the entire list of invoices before seeing the invoice detail panel.</w:t>
      </w:r>
    </w:p>
    <w:p>
      <w:pPr>
        <w:pStyle w:val="ListParagraph"/>
        <w:numPr>
          <w:ilvl w:val="0"/>
          <w:numId w:val="1"/>
        </w:numPr>
        <w:spacing w:after="80" w:line="260"/>
      </w:pPr>
      <w:r>
        <w:rPr>
          <w:rFonts w:ascii="Calibri" w:cs="Calibri" w:eastAsia="Calibri" w:hAnsi="Calibri"/>
          <w:b/>
          <w:bCs/>
          <w:color w:val="1E293B"/>
          <w:sz w:val="21"/>
          <w:szCs w:val="21"/>
        </w:rPr>
        <w:t xml:space="preserve">Actionable Fix:</w:t>
      </w:r>
      <w:r>
        <w:rPr>
          <w:rFonts w:ascii="Calibri" w:cs="Calibri" w:eastAsia="Calibri" w:hAnsi="Calibri"/>
          <w:color w:val="1E293B"/>
          <w:sz w:val="21"/>
          <w:szCs w:val="21"/>
        </w:rPr>
        <w:t xml:space="preserve"> Remediation: Implement the mobileView state toggle in Invoices.jsx to provide seamless mobile drilldown.</w:t>
      </w:r>
    </w:p>
    <w:p>
      <w:pPr>
        <w:pStyle w:val="Heading1"/>
        <w:spacing w:after="140" w:before="280"/>
      </w:pPr>
      <w:r>
        <w:t xml:space="preserve">4. Remediation Roadmap &amp; Next Steps</w:t>
      </w:r>
    </w:p>
    <w:p>
      <w:pPr>
        <w:pStyle w:val="ListParagraph"/>
        <w:numPr>
          <w:ilvl w:val="0"/>
          <w:numId w:val="1"/>
        </w:numPr>
        <w:spacing w:after="80" w:line="260"/>
      </w:pPr>
      <w:r>
        <w:rPr>
          <w:rFonts w:ascii="Calibri" w:cs="Calibri" w:eastAsia="Calibri" w:hAnsi="Calibri"/>
          <w:b/>
          <w:bCs/>
          <w:color w:val="1E293B"/>
          <w:sz w:val="21"/>
          <w:szCs w:val="21"/>
        </w:rPr>
        <w:t xml:space="preserve">Phase 1 (Critical Integrity):</w:t>
      </w:r>
      <w:r>
        <w:rPr>
          <w:rFonts w:ascii="Calibri" w:cs="Calibri" w:eastAsia="Calibri" w:hAnsi="Calibri"/>
          <w:color w:val="1E293B"/>
          <w:sz w:val="21"/>
          <w:szCs w:val="21"/>
        </w:rPr>
        <w:t xml:space="preserve"> Immediate deployment of MessagingContext key normalization and rootLeadId continuity.</w:t>
      </w:r>
    </w:p>
    <w:p>
      <w:pPr>
        <w:pStyle w:val="ListParagraph"/>
        <w:numPr>
          <w:ilvl w:val="0"/>
          <w:numId w:val="1"/>
        </w:numPr>
        <w:spacing w:after="80" w:line="260"/>
      </w:pPr>
      <w:r>
        <w:rPr>
          <w:rFonts w:ascii="Calibri" w:cs="Calibri" w:eastAsia="Calibri" w:hAnsi="Calibri"/>
          <w:b/>
          <w:bCs/>
          <w:color w:val="1E293B"/>
          <w:sz w:val="21"/>
          <w:szCs w:val="21"/>
        </w:rPr>
        <w:t xml:space="preserve">Phase 2 (UI/UX Harmonization):</w:t>
      </w:r>
      <w:r>
        <w:rPr>
          <w:rFonts w:ascii="Calibri" w:cs="Calibri" w:eastAsia="Calibri" w:hAnsi="Calibri"/>
          <w:color w:val="1E293B"/>
          <w:sz w:val="21"/>
          <w:szCs w:val="21"/>
        </w:rPr>
        <w:t xml:space="preserve"> Integration of PageHeader in Cost Calculator, light mode contrast token enforcement, and Invoices mobile drilldown.</w:t>
      </w:r>
    </w:p>
    <w:p>
      <w:pPr>
        <w:pStyle w:val="ListParagraph"/>
        <w:numPr>
          <w:ilvl w:val="0"/>
          <w:numId w:val="1"/>
        </w:numPr>
        <w:spacing w:after="80" w:line="260"/>
      </w:pPr>
      <w:r>
        <w:rPr>
          <w:rFonts w:ascii="Calibri" w:cs="Calibri" w:eastAsia="Calibri" w:hAnsi="Calibri"/>
          <w:b/>
          <w:bCs/>
          <w:color w:val="1E293B"/>
          <w:sz w:val="21"/>
          <w:szCs w:val="21"/>
        </w:rPr>
        <w:t xml:space="preserve">Phase 3 (Decoupling &amp; Cleanup):</w:t>
      </w:r>
      <w:r>
        <w:rPr>
          <w:rFonts w:ascii="Calibri" w:cs="Calibri" w:eastAsia="Calibri" w:hAnsi="Calibri"/>
          <w:color w:val="1E293B"/>
          <w:sz w:val="21"/>
          <w:szCs w:val="21"/>
        </w:rPr>
        <w:t xml:space="preserve"> Extraction of audio compilation tools from LeadCardDetails.jsx, unified timestamp serialization, and cross-collection profile sync.</w:t>
      </w:r>
    </w:p>
    <w:p>
      <w:pPr>
        <w:pStyle w:val="Heading1"/>
        <w:spacing w:after="140" w:before="280"/>
      </w:pPr>
      <w:r>
        <w:t xml:space="preserve">5. Verification &amp; Quality Gates</w:t>
      </w:r>
    </w:p>
    <w:p>
      <w:pPr>
        <w:spacing w:after="120" w:line="276"/>
      </w:pPr>
      <w:r>
        <w:rPr>
          <w:rFonts w:ascii="Calibri" w:cs="Calibri" w:eastAsia="Calibri" w:hAnsi="Calibri"/>
          <w:b w:val="false"/>
          <w:bCs w:val="false"/>
          <w:color w:val="1E293B"/>
          <w:sz w:val="22"/>
          <w:szCs w:val="22"/>
        </w:rPr>
        <w:t xml:space="preserve">All quality gates have been tested and verified locally:</w:t>
      </w:r>
    </w:p>
    <w:p>
      <w:pPr>
        <w:pStyle w:val="ListParagraph"/>
        <w:numPr>
          <w:ilvl w:val="0"/>
          <w:numId w:val="1"/>
        </w:numPr>
        <w:spacing w:after="80" w:line="260"/>
      </w:pPr>
      <w:r>
        <w:rPr>
          <w:rFonts w:ascii="Calibri" w:cs="Calibri" w:eastAsia="Calibri" w:hAnsi="Calibri"/>
          <w:b/>
          <w:bCs/>
          <w:color w:val="1E293B"/>
          <w:sz w:val="21"/>
          <w:szCs w:val="21"/>
        </w:rPr>
        <w:t xml:space="preserve">Vitest Unit Tests (npm test):</w:t>
      </w:r>
      <w:r>
        <w:rPr>
          <w:rFonts w:ascii="Calibri" w:cs="Calibri" w:eastAsia="Calibri" w:hAnsi="Calibri"/>
          <w:color w:val="1E293B"/>
          <w:sz w:val="21"/>
          <w:szCs w:val="21"/>
        </w:rPr>
        <w:t xml:space="preserve"> 20/20 unit tests passed (permissions, email templates, Firebase admin helpers) in 2.16s.</w:t>
      </w:r>
    </w:p>
    <w:p>
      <w:pPr>
        <w:pStyle w:val="ListParagraph"/>
        <w:numPr>
          <w:ilvl w:val="0"/>
          <w:numId w:val="1"/>
        </w:numPr>
        <w:spacing w:after="80" w:line="260"/>
      </w:pPr>
      <w:r>
        <w:rPr>
          <w:rFonts w:ascii="Calibri" w:cs="Calibri" w:eastAsia="Calibri" w:hAnsi="Calibri"/>
          <w:b/>
          <w:bCs/>
          <w:color w:val="1E293B"/>
          <w:sz w:val="21"/>
          <w:szCs w:val="21"/>
        </w:rPr>
        <w:t xml:space="preserve">Vite Build (npm run build):</w:t>
      </w:r>
      <w:r>
        <w:rPr>
          <w:rFonts w:ascii="Calibri" w:cs="Calibri" w:eastAsia="Calibri" w:hAnsi="Calibri"/>
          <w:color w:val="1E293B"/>
          <w:sz w:val="21"/>
          <w:szCs w:val="21"/>
        </w:rPr>
        <w:t xml:space="preserve"> Successful production bundle generation in 13.75s with zero syntax or packaging errors.</w:t>
      </w:r>
    </w:p>
    <w:p>
      <w:pPr>
        <w:pStyle w:val="ListParagraph"/>
        <w:numPr>
          <w:ilvl w:val="0"/>
          <w:numId w:val="1"/>
        </w:numPr>
        <w:spacing w:after="80" w:line="260"/>
      </w:pPr>
      <w:r>
        <w:rPr>
          <w:rFonts w:ascii="Calibri" w:cs="Calibri" w:eastAsia="Calibri" w:hAnsi="Calibri"/>
          <w:b/>
          <w:bCs/>
          <w:color w:val="1E293B"/>
          <w:sz w:val="21"/>
          <w:szCs w:val="21"/>
        </w:rPr>
        <w:t xml:space="preserve">ESLint Linting (npm run lint):</w:t>
      </w:r>
      <w:r>
        <w:rPr>
          <w:rFonts w:ascii="Calibri" w:cs="Calibri" w:eastAsia="Calibri" w:hAnsi="Calibri"/>
          <w:color w:val="1E293B"/>
          <w:sz w:val="21"/>
          <w:szCs w:val="21"/>
        </w:rPr>
        <w:t xml:space="preserve"> Passed with 0 errors across all JavaScript and JSX source files.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2026-09-09T02:00:35.481Z</dcterms:created>
  <dcterms:modified xsi:type="dcterms:W3CDTF">2026-09-09T02:00:35.482Z</dcterms:modified>
</cp:coreProperties>
</file>

<file path=docProps/custom.xml><?xml version="1.0" encoding="utf-8"?>
<Properties xmlns="http://schemas.openxmlformats.org/officeDocument/2006/custom-properties" xmlns:vt="http://schemas.openxmlformats.org/officeDocument/2006/docPropsVTypes"/>
</file>