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CliMaze Integrated Food Waste Prevention Requirements</w:t>
      </w:r>
    </w:p>
    <w:p>
      <w:r>
        <w:t>Madhumitha Challa and Abhishek | Combined concept | 4 October 2026</w:t>
      </w:r>
    </w:p>
    <w:p>
      <w:r>
        <w:t>Food business waste prevention plus Expiry Twin</w:t>
      </w:r>
    </w:p>
    <w:p>
      <w:r>
        <w:t>Combine demand and stock planning across retail, hospitality and food production with batch-level freshness estimates from temperature history. The product helps a business decide how much to buy or prepare, which existing batches to use first, and when remaining stock needs an earlier intervention.</w:t>
      </w:r>
    </w:p>
    <w:p>
      <w:pPr>
        <w:pStyle w:val="Heading1"/>
      </w:pPr>
      <w:r>
        <w:t>Both ideas and their integration</w:t>
      </w:r>
    </w:p>
    <w:tbl>
      <w:tblPr>
        <w:tblW w:type="auto" w:w="0"/>
        <w:tblLayout w:type="fixed"/>
        <w:tblLook w:firstColumn="1" w:firstRow="1" w:lastColumn="0" w:lastRow="0" w:noHBand="0" w:noVBand="1" w:val="04A0"/>
      </w:tblPr>
      <w:tblGrid>
        <w:gridCol w:w="1944"/>
        <w:gridCol w:w="7992"/>
      </w:tblGrid>
      <w:tr>
        <w:trPr>
          <w:cantSplit/>
          <w:tblHeader/>
        </w:trPr>
        <w:tc>
          <w:tcPr>
            <w:tcW w:type="dxa" w:w="1944"/>
            <w:tcBorders>
              <w:top w:val="single" w:sz="4" w:color="D9D9D9"/>
              <w:left w:val="single" w:sz="4" w:color="D9D9D9"/>
              <w:bottom w:val="single" w:sz="4" w:color="D9D9D9"/>
              <w:right w:val="single" w:sz="4" w:color="D9D9D9"/>
            </w:tcBorders>
            <w:shd w:fill="E7EDF2"/>
          </w:tcPr>
          <w:p>
            <w:pPr>
              <w:spacing w:after="120" w:before="120"/>
            </w:pPr>
            <w:r>
              <w:rPr>
                <w:b/>
                <w:sz w:val="20"/>
              </w:rPr>
              <w:t>Contribution</w:t>
            </w:r>
          </w:p>
        </w:tc>
        <w:tc>
          <w:tcPr>
            <w:tcW w:type="dxa" w:w="7992"/>
            <w:tcBorders>
              <w:top w:val="single" w:sz="4" w:color="D9D9D9"/>
              <w:left w:val="single" w:sz="4" w:color="D9D9D9"/>
              <w:bottom w:val="single" w:sz="4" w:color="D9D9D9"/>
              <w:right w:val="single" w:sz="4" w:color="D9D9D9"/>
            </w:tcBorders>
            <w:shd w:fill="E7EDF2"/>
          </w:tcPr>
          <w:p>
            <w:pPr>
              <w:spacing w:after="120" w:before="120"/>
            </w:pPr>
            <w:r>
              <w:rPr>
                <w:b/>
                <w:sz w:val="20"/>
              </w:rPr>
              <w:t>What it contributes to the product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Madhumitha Challa</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The food-business waste-prevention concept: demand and stock planning across retail, hospitality and food production.</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Abhishek</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The Smart Cold-Chain Expiry Twin: use actual temperature history to estimate remaining batch quality life and prioritise stock.</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Combined CliMaze product</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Feed batch freshness into stock allocation and replenishment decisions, so future plans count only stock expected to remain usable when needed.</w:t>
            </w:r>
          </w:p>
        </w:tc>
      </w:tr>
    </w:tbl>
    <w:p>
      <w:r>
        <w:t>The concepts overlap in demand and inventory management. These credits identify the ideas brought to this discussion, not exclusive ownership of individual algorithms. The combined product must demonstrate both planning and freshness together; a donation dashboard alone does not fulfil the concept.</w:t>
      </w:r>
    </w:p>
    <w:p>
      <w:pPr>
        <w:pStyle w:val="Heading1"/>
      </w:pPr>
      <w:r>
        <w:t>One connected workflow</w:t>
      </w:r>
    </w:p>
    <w:p>
      <w:r>
        <w:t>Forecast the business requirement; inspect on-hand stock and its temperature history; estimate each batch’s quality window; allocate eligible batches in earliest-quality-expiry order; calculate usable carryover and the next purchase requirement; flag surplus for earlier use, markdown or a feasible transfer. Record actual outcomes before making impact claims.</w:t>
      </w:r>
    </w:p>
    <w:p>
      <w:pPr>
        <w:pStyle w:val="Heading1"/>
      </w:pPr>
      <w:r>
        <w:t>What the revised demonstration includes</w:t>
      </w:r>
    </w:p>
    <w:p>
      <w:r>
        <w:t>Three selectable settings—retail, hospitality and production—change the planning language, requirements and timing. Two strawberry batches share the same printed date but have different temperature exposure. Adjusting demand or exposure changes the batch allocation, tomorrow’s replenishment and stock flagged for review. Both contributors are named at the top of the interface.</w:t>
      </w:r>
    </w:p>
    <w:p>
      <w:r>
        <w:br w:type="page"/>
      </w:r>
    </w:p>
    <w:p>
      <w:pPr>
        <w:pStyle w:val="Heading1"/>
      </w:pPr>
      <w:r>
        <w:t>Requirements for the combined minimum product</w:t>
      </w:r>
    </w:p>
    <w:tbl>
      <w:tblPr>
        <w:tblW w:type="auto" w:w="0"/>
        <w:tblLayout w:type="fixed"/>
        <w:tblLook w:firstColumn="1" w:firstRow="1" w:lastColumn="0" w:lastRow="0" w:noHBand="0" w:noVBand="1" w:val="04A0"/>
      </w:tblPr>
      <w:tblGrid>
        <w:gridCol w:w="648"/>
        <w:gridCol w:w="2376"/>
        <w:gridCol w:w="6912"/>
      </w:tblGrid>
      <w:tr>
        <w:trPr>
          <w:cantSplit/>
          <w:tblHeader/>
        </w:trPr>
        <w:tc>
          <w:tcPr>
            <w:tcW w:type="dxa" w:w="648"/>
            <w:tcBorders>
              <w:top w:val="single" w:sz="4" w:color="D9D9D9"/>
              <w:left w:val="single" w:sz="4" w:color="D9D9D9"/>
              <w:bottom w:val="single" w:sz="4" w:color="D9D9D9"/>
              <w:right w:val="single" w:sz="4" w:color="D9D9D9"/>
            </w:tcBorders>
            <w:shd w:fill="E7EDF2"/>
          </w:tcPr>
          <w:p>
            <w:pPr>
              <w:spacing w:after="120" w:before="120"/>
            </w:pPr>
            <w:r>
              <w:rPr>
                <w:b/>
                <w:sz w:val="20"/>
              </w:rPr>
              <w:t>ID</w:t>
            </w:r>
          </w:p>
        </w:tc>
        <w:tc>
          <w:tcPr>
            <w:tcW w:type="dxa" w:w="2376"/>
            <w:tcBorders>
              <w:top w:val="single" w:sz="4" w:color="D9D9D9"/>
              <w:left w:val="single" w:sz="4" w:color="D9D9D9"/>
              <w:bottom w:val="single" w:sz="4" w:color="D9D9D9"/>
              <w:right w:val="single" w:sz="4" w:color="D9D9D9"/>
            </w:tcBorders>
            <w:shd w:fill="E7EDF2"/>
          </w:tcPr>
          <w:p>
            <w:pPr>
              <w:spacing w:after="120" w:before="120"/>
            </w:pPr>
            <w:r>
              <w:rPr>
                <w:b/>
                <w:sz w:val="20"/>
              </w:rPr>
              <w:t>Required feature</w:t>
            </w:r>
          </w:p>
        </w:tc>
        <w:tc>
          <w:tcPr>
            <w:tcW w:type="dxa" w:w="6912"/>
            <w:tcBorders>
              <w:top w:val="single" w:sz="4" w:color="D9D9D9"/>
              <w:left w:val="single" w:sz="4" w:color="D9D9D9"/>
              <w:bottom w:val="single" w:sz="4" w:color="D9D9D9"/>
              <w:right w:val="single" w:sz="4" w:color="D9D9D9"/>
            </w:tcBorders>
            <w:shd w:fill="E7EDF2"/>
          </w:tcPr>
          <w:p>
            <w:pPr>
              <w:spacing w:after="120" w:before="120"/>
            </w:pPr>
            <w:r>
              <w:rPr>
                <w:b/>
                <w:sz w:val="20"/>
              </w:rPr>
              <w:t>Acceptance check</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R1</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Business demand planning</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Support retail sales, hospitality preparation and production input requirements; show quantity and need-by time.</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R2</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Batch inventory</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Store quantities, receipt dates, applicable date limits and time-stamped temperature history.</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R3</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Expiry Twin</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Derive a product-specific quality estimate with method and uncertainty labels; same-date batches can differ.</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R4</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Freshness-aware allocation</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Allocate the earliest eligible quality-expiry batch first. Do not allocate the same stock twice.</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R5</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Replenishment planning</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Subtract usable stock and eligible confirmed receipts from forecast need; do not count batches that expire before use.</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R6</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Earlier intervention</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Flag stock unlikely to be used in time; compare earlier use, markdown, transfer or donation with feasibility checks.</w:t>
            </w:r>
          </w:p>
        </w:tc>
      </w:tr>
      <w:tr>
        <w:trPr>
          <w:cantSplit/>
        </w:trPr>
        <w:tc>
          <w:tcPr>
            <w:tcW w:type="dxa" w:w="648"/>
            <w:tcBorders>
              <w:top w:val="single" w:sz="4" w:color="D9D9D9"/>
              <w:left w:val="single" w:sz="4" w:color="D9D9D9"/>
              <w:bottom w:val="single" w:sz="4" w:color="D9D9D9"/>
              <w:right w:val="single" w:sz="4" w:color="D9D9D9"/>
            </w:tcBorders>
            <w:shd w:fill="FFFFFF"/>
          </w:tcPr>
          <w:p>
            <w:pPr>
              <w:spacing w:after="120" w:before="120"/>
            </w:pPr>
            <w:r>
              <w:rPr>
                <w:b w:val="0"/>
                <w:sz w:val="20"/>
              </w:rPr>
              <w:t>R7</w:t>
            </w:r>
          </w:p>
        </w:tc>
        <w:tc>
          <w:tcPr>
            <w:tcW w:type="dxa" w:w="2376"/>
            <w:tcBorders>
              <w:top w:val="single" w:sz="4" w:color="D9D9D9"/>
              <w:left w:val="single" w:sz="4" w:color="D9D9D9"/>
              <w:bottom w:val="single" w:sz="4" w:color="D9D9D9"/>
              <w:right w:val="single" w:sz="4" w:color="D9D9D9"/>
            </w:tcBorders>
            <w:shd w:fill="FFFFFF"/>
          </w:tcPr>
          <w:p>
            <w:pPr>
              <w:spacing w:after="120" w:before="120"/>
            </w:pPr>
            <w:r>
              <w:rPr>
                <w:b w:val="0"/>
                <w:sz w:val="20"/>
              </w:rPr>
              <w:t>Review and outcomes</w:t>
            </w:r>
          </w:p>
        </w:tc>
        <w:tc>
          <w:tcPr>
            <w:tcW w:type="dxa" w:w="6912"/>
            <w:tcBorders>
              <w:top w:val="single" w:sz="4" w:color="D9D9D9"/>
              <w:left w:val="single" w:sz="4" w:color="D9D9D9"/>
              <w:bottom w:val="single" w:sz="4" w:color="D9D9D9"/>
              <w:right w:val="single" w:sz="4" w:color="D9D9D9"/>
            </w:tcBorders>
            <w:shd w:fill="FFFFFF"/>
          </w:tcPr>
          <w:p>
            <w:pPr>
              <w:spacing w:after="120" w:before="120"/>
            </w:pPr>
            <w:r>
              <w:rPr>
                <w:b w:val="0"/>
                <w:sz w:val="20"/>
              </w:rPr>
              <w:t>Block release when checks fail. Save approvals separately from actual sales, usage, transfers and discarded quantities.</w:t>
            </w:r>
          </w:p>
        </w:tc>
      </w:tr>
    </w:tbl>
    <w:p>
      <w:pPr>
        <w:pStyle w:val="Heading1"/>
      </w:pPr>
      <w:r>
        <w:t>How the settings differ</w:t>
      </w:r>
    </w:p>
    <w:p>
      <w:r>
        <w:t>Retail plans sell-through and purchase orders. Hospitality converts covers or menu demand into ingredient quantities and preparation plans. Production converts planned output into ingredient demand, allowing for recipe yield, existing materials and work in progress. The demonstration uses direct kilogram inputs; covers, recipes and production yields are build requirements rather than completed features.</w:t>
      </w:r>
    </w:p>
    <w:p>
      <w:pPr>
        <w:pStyle w:val="Heading1"/>
      </w:pPr>
      <w:r>
        <w:t>Minimum data and connections</w:t>
      </w:r>
    </w:p>
    <w:p>
      <w:r>
        <w:t>Use stable business, product and batch IDs. Capture quantity and unit; receipt and applicable date-limit timestamps; temperature reading and observation time; demand horizon; planned use time; and confirmed inbound stock. For hospitality and production, add recipe, portion or yield conversion and input-to-output traceability. Retain model version, source and data-quality flags.</w:t>
      </w:r>
    </w:p>
    <w:p>
      <w:r>
        <w:t>Transfers need source and destination, accepted quantity, transport time, storage capability and receipt confirmation. Operational connections can later include POS, procurement, booking or production systems. Cross-business matching is a proposed extension, not an assumed existing partnership.</w:t>
      </w:r>
    </w:p>
    <w:p>
      <w:r>
        <w:br w:type="page"/>
      </w:r>
    </w:p>
    <w:p>
      <w:pPr>
        <w:pStyle w:val="Heading1"/>
      </w:pPr>
      <w:r>
        <w:t>Demonstration assumptions and worked example</w:t>
      </w:r>
    </w:p>
    <w:p>
      <w:r>
        <w:t>The current interface is a deterministic simulation, not a trained forecast or validated food-safety model. All stock, demand and temperature effects below are synthetic. It shows the coupling between the two ideas without presenting simulated improvements as real results.</w:t>
      </w:r>
    </w:p>
    <w:tbl>
      <w:tblPr>
        <w:tblW w:type="auto" w:w="0"/>
        <w:tblLayout w:type="fixed"/>
        <w:tblLook w:firstColumn="1" w:firstRow="1" w:lastColumn="0" w:lastRow="0" w:noHBand="0" w:noVBand="1" w:val="04A0"/>
      </w:tblPr>
      <w:tblGrid>
        <w:gridCol w:w="1944"/>
        <w:gridCol w:w="7992"/>
      </w:tblGrid>
      <w:tr>
        <w:trPr>
          <w:cantSplit/>
          <w:tblHeader/>
        </w:trPr>
        <w:tc>
          <w:tcPr>
            <w:tcW w:type="dxa" w:w="1944"/>
            <w:tcBorders>
              <w:top w:val="single" w:sz="4" w:color="D9D9D9"/>
              <w:left w:val="single" w:sz="4" w:color="D9D9D9"/>
              <w:bottom w:val="single" w:sz="4" w:color="D9D9D9"/>
              <w:right w:val="single" w:sz="4" w:color="D9D9D9"/>
            </w:tcBorders>
            <w:shd w:fill="E7EDF2"/>
          </w:tcPr>
          <w:p>
            <w:pPr>
              <w:spacing w:after="120" w:before="120"/>
            </w:pPr>
            <w:r>
              <w:rPr>
                <w:b/>
                <w:sz w:val="20"/>
              </w:rPr>
              <w:t>Parameter</w:t>
            </w:r>
          </w:p>
        </w:tc>
        <w:tc>
          <w:tcPr>
            <w:tcW w:type="dxa" w:w="7992"/>
            <w:tcBorders>
              <w:top w:val="single" w:sz="4" w:color="D9D9D9"/>
              <w:left w:val="single" w:sz="4" w:color="D9D9D9"/>
              <w:bottom w:val="single" w:sz="4" w:color="D9D9D9"/>
              <w:right w:val="single" w:sz="4" w:color="D9D9D9"/>
            </w:tcBorders>
            <w:shd w:fill="E7EDF2"/>
          </w:tcPr>
          <w:p>
            <w:pPr>
              <w:spacing w:after="120" w:before="120"/>
            </w:pPr>
            <w:r>
              <w:rPr>
                <w:b/>
                <w:sz w:val="20"/>
              </w:rPr>
              <w:t>Demonstration rule</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Stock and date limit</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Strawberry batches A and B each hold 24 kg; both have a printed limit at +48 h.</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Quality life</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A stays at 48 h. B = max(0, 48 − 1.5 × warm-exposure hours). This coefficient is unvalidated.</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Need-by time</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Today: retail and hospitality +6 h; production +12 h. Tomorrow: add 24 h to that time.</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Allocation</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Sort batches by estimated quality life; take eligible stock until the requirement is met.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Eligible carryover</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Sum unallocated stock whose quality window reaches tomorrow’s need-by time.</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Replenishment</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max(0, tomorrow’s forecast minus eligible carryover). No confirmed inbound stock or buffer in this demo.</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20" w:before="120"/>
            </w:pPr>
            <w:r>
              <w:rPr>
                <w:b w:val="0"/>
                <w:sz w:val="20"/>
              </w:rPr>
              <w:t>Review quantity</w:t>
            </w:r>
          </w:p>
        </w:tc>
        <w:tc>
          <w:tcPr>
            <w:tcW w:type="dxa" w:w="7992"/>
            <w:tcBorders>
              <w:top w:val="single" w:sz="4" w:color="D9D9D9"/>
              <w:left w:val="single" w:sz="4" w:color="D9D9D9"/>
              <w:bottom w:val="single" w:sz="4" w:color="D9D9D9"/>
              <w:right w:val="single" w:sz="4" w:color="D9D9D9"/>
            </w:tcBorders>
            <w:shd w:fill="FFFFFF"/>
          </w:tcPr>
          <w:p>
            <w:pPr>
              <w:spacing w:after="120" w:before="120"/>
            </w:pPr>
            <w:r>
              <w:rPr>
                <w:b w:val="0"/>
                <w:sz w:val="20"/>
              </w:rPr>
              <w:t>Unallocated stock that does not reach tomorrow’s need-by time; not automatically counted as waste.</w:t>
            </w:r>
          </w:p>
        </w:tc>
      </w:tr>
    </w:tbl>
    <w:p>
      <w:pPr>
        <w:pStyle w:val="Heading1"/>
      </w:pPr>
      <w:r>
        <w:t>Why the integration changes a decision</w:t>
      </w:r>
    </w:p>
    <w:p>
      <w:r>
        <w:t>Choose retail, today’s requirement of 20 kg, tomorrow’s forecast of 24 kg and 18 hours of warm exposure for B. B has 21 estimated quality hours while A has 48. Allocate 20 kg from B first, leaving B with 4 kg and A with 24 kg. Count A’s 24 kg for tomorrow; no purchase is required. Flag B’s remaining 4 kg for earlier action.</w:t>
      </w:r>
    </w:p>
    <w:p>
      <w:r>
        <w:t>Now reduce today’s requirement to 10 kg. B has 14 kg left needing earlier action, while A still covers tomorrow. Increase tomorrow’s forecast to 30 kg: the integrated plan requests 6 kg, whereas a quantity-only calculation would request zero because it incorrectly treats all 38 kg remaining as suitable for tomorrow.</w:t>
      </w:r>
    </w:p>
    <w:p>
      <w:pPr>
        <w:pStyle w:val="Heading1"/>
      </w:pPr>
      <w:r>
        <w:t>Checks before release</w:t>
      </w:r>
    </w:p>
    <w:p>
      <w:r>
        <w:t>Changing an input clears approval. Missing history or a quality concern holds the plan. A live system must also enforce applicable date limits, supplier requirements and authorised release checks; a quality model cannot extend those limits. Production processing must not be assumed to make unsuitable ingredients safe. No sales, purchase or transfer is executed by the demonstration.</w:t>
      </w:r>
    </w:p>
    <w:p>
      <w:r>
        <w:br w:type="page"/>
      </w:r>
    </w:p>
    <w:p>
      <w:pPr>
        <w:pStyle w:val="Heading1"/>
      </w:pPr>
      <w:r>
        <w:t>Implementation and evidence plan</w:t>
      </w:r>
    </w:p>
    <w:p>
      <w:pPr>
        <w:pStyle w:val="Heading2"/>
      </w:pPr>
      <w:r>
        <w:t>Build order</w:t>
      </w:r>
    </w:p>
    <w:p>
      <w:r>
        <w:t>1. Agree one product and one business journey. 2. Define units, demand horizon and batch schema. 3. Build a demand baseline and stock ledger. 4. Add temperature-history quality estimates. 5. Connect freshness to allocation and replenishment. 6. Add feasible intervention comparisons and approval records. 7. Capture actual outcomes and rehearse the combined story.</w:t>
      </w:r>
    </w:p>
    <w:p>
      <w:pPr>
        <w:pStyle w:val="Heading2"/>
      </w:pPr>
      <w:r>
        <w:t>Proposed team responsibilities</w:t>
      </w:r>
    </w:p>
    <w:tbl>
      <w:tblPr>
        <w:tblW w:type="auto" w:w="0"/>
        <w:tblLayout w:type="fixed"/>
        <w:tblLook w:firstColumn="1" w:firstRow="1" w:lastColumn="0" w:lastRow="0" w:noHBand="0" w:noVBand="1" w:val="04A0"/>
      </w:tblPr>
      <w:tblGrid>
        <w:gridCol w:w="1728"/>
        <w:gridCol w:w="8208"/>
      </w:tblGrid>
      <w:tr>
        <w:trPr>
          <w:cantSplit/>
          <w:tblHeader/>
        </w:trPr>
        <w:tc>
          <w:tcPr>
            <w:tcW w:type="dxa" w:w="1728"/>
            <w:tcBorders>
              <w:top w:val="single" w:sz="4" w:color="D9D9D9"/>
              <w:left w:val="single" w:sz="4" w:color="D9D9D9"/>
              <w:bottom w:val="single" w:sz="4" w:color="D9D9D9"/>
              <w:right w:val="single" w:sz="4" w:color="D9D9D9"/>
            </w:tcBorders>
            <w:shd w:fill="E7EDF2"/>
          </w:tcPr>
          <w:p>
            <w:pPr>
              <w:spacing w:after="120" w:before="120"/>
            </w:pPr>
            <w:r>
              <w:rPr>
                <w:b/>
                <w:sz w:val="20"/>
              </w:rPr>
              <w:t>Person</w:t>
            </w:r>
          </w:p>
        </w:tc>
        <w:tc>
          <w:tcPr>
            <w:tcW w:type="dxa" w:w="8208"/>
            <w:tcBorders>
              <w:top w:val="single" w:sz="4" w:color="D9D9D9"/>
              <w:left w:val="single" w:sz="4" w:color="D9D9D9"/>
              <w:bottom w:val="single" w:sz="4" w:color="D9D9D9"/>
              <w:right w:val="single" w:sz="4" w:color="D9D9D9"/>
            </w:tcBorders>
            <w:shd w:fill="E7EDF2"/>
          </w:tcPr>
          <w:p>
            <w:pPr>
              <w:spacing w:after="120" w:before="120"/>
            </w:pPr>
            <w:r>
              <w:rPr>
                <w:b/>
                <w:sz w:val="20"/>
              </w:rPr>
              <w:t>Proposed deliverable for team agreement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20" w:before="120"/>
            </w:pPr>
            <w:r>
              <w:rPr>
                <w:b w:val="0"/>
                <w:sz w:val="20"/>
              </w:rPr>
              <w:t>Madhumitha</w:t>
            </w:r>
          </w:p>
        </w:tc>
        <w:tc>
          <w:tcPr>
            <w:tcW w:type="dxa" w:w="8208"/>
            <w:tcBorders>
              <w:top w:val="single" w:sz="4" w:color="D9D9D9"/>
              <w:left w:val="single" w:sz="4" w:color="D9D9D9"/>
              <w:bottom w:val="single" w:sz="4" w:color="D9D9D9"/>
              <w:right w:val="single" w:sz="4" w:color="D9D9D9"/>
            </w:tcBorders>
            <w:shd w:fill="FFFFFF"/>
          </w:tcPr>
          <w:p>
            <w:pPr>
              <w:spacing w:after="120" w:before="120"/>
            </w:pPr>
            <w:r>
              <w:rPr>
                <w:b w:val="0"/>
                <w:sz w:val="20"/>
              </w:rPr>
              <w:t>Cross-sector demand and stock-planning journeys; prevention logic; integrated requirements and impact narrative.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20" w:before="120"/>
            </w:pPr>
            <w:r>
              <w:rPr>
                <w:b w:val="0"/>
                <w:sz w:val="20"/>
              </w:rPr>
              <w:t>Abhishek</w:t>
            </w:r>
          </w:p>
        </w:tc>
        <w:tc>
          <w:tcPr>
            <w:tcW w:type="dxa" w:w="8208"/>
            <w:tcBorders>
              <w:top w:val="single" w:sz="4" w:color="D9D9D9"/>
              <w:left w:val="single" w:sz="4" w:color="D9D9D9"/>
              <w:bottom w:val="single" w:sz="4" w:color="D9D9D9"/>
              <w:right w:val="single" w:sz="4" w:color="D9D9D9"/>
            </w:tcBorders>
            <w:shd w:fill="FFFFFF"/>
          </w:tcPr>
          <w:p>
            <w:pPr>
              <w:spacing w:after="120" w:before="120"/>
            </w:pPr>
            <w:r>
              <w:rPr>
                <w:b w:val="0"/>
                <w:sz w:val="20"/>
              </w:rPr>
              <w:t>Expiry Twin inputs, quality-estimation approach, research assumptions and batch freshness outputs.</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20" w:before="120"/>
            </w:pPr>
            <w:r>
              <w:rPr>
                <w:b w:val="0"/>
                <w:sz w:val="20"/>
              </w:rPr>
              <w:t>Shyam</w:t>
            </w:r>
          </w:p>
        </w:tc>
        <w:tc>
          <w:tcPr>
            <w:tcW w:type="dxa" w:w="8208"/>
            <w:tcBorders>
              <w:top w:val="single" w:sz="4" w:color="D9D9D9"/>
              <w:left w:val="single" w:sz="4" w:color="D9D9D9"/>
              <w:bottom w:val="single" w:sz="4" w:color="D9D9D9"/>
              <w:right w:val="single" w:sz="4" w:color="D9D9D9"/>
            </w:tcBorders>
            <w:shd w:fill="FFFFFF"/>
          </w:tcPr>
          <w:p>
            <w:pPr>
              <w:spacing w:after="120" w:before="120"/>
            </w:pPr>
            <w:r>
              <w:rPr>
                <w:b w:val="0"/>
                <w:sz w:val="20"/>
              </w:rPr>
              <w:t>Demand baseline, allocation and replenishment calculations; evaluation and uncertainty checks.</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20" w:before="120"/>
            </w:pPr>
            <w:r>
              <w:rPr>
                <w:b w:val="0"/>
                <w:sz w:val="20"/>
              </w:rPr>
              <w:t>Vijayaraja</w:t>
            </w:r>
          </w:p>
        </w:tc>
        <w:tc>
          <w:tcPr>
            <w:tcW w:type="dxa" w:w="8208"/>
            <w:tcBorders>
              <w:top w:val="single" w:sz="4" w:color="D9D9D9"/>
              <w:left w:val="single" w:sz="4" w:color="D9D9D9"/>
              <w:bottom w:val="single" w:sz="4" w:color="D9D9D9"/>
              <w:right w:val="single" w:sz="4" w:color="D9D9D9"/>
            </w:tcBorders>
            <w:shd w:fill="FFFFFF"/>
          </w:tcPr>
          <w:p>
            <w:pPr>
              <w:spacing w:after="120" w:before="120"/>
            </w:pPr>
            <w:r>
              <w:rPr>
                <w:b w:val="0"/>
                <w:sz w:val="20"/>
              </w:rPr>
              <w:t>Integrated interface, data connections, persistent records and demo reliability.</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20" w:before="120"/>
            </w:pPr>
            <w:r>
              <w:rPr>
                <w:b w:val="0"/>
                <w:sz w:val="20"/>
              </w:rPr>
              <w:t>Nithilan</w:t>
            </w:r>
          </w:p>
        </w:tc>
        <w:tc>
          <w:tcPr>
            <w:tcW w:type="dxa" w:w="8208"/>
            <w:tcBorders>
              <w:top w:val="single" w:sz="4" w:color="D9D9D9"/>
              <w:left w:val="single" w:sz="4" w:color="D9D9D9"/>
              <w:bottom w:val="single" w:sz="4" w:color="D9D9D9"/>
              <w:right w:val="single" w:sz="4" w:color="D9D9D9"/>
            </w:tcBorders>
            <w:shd w:fill="FFFFFF"/>
          </w:tcPr>
          <w:p>
            <w:pPr>
              <w:spacing w:after="120" w:before="120"/>
            </w:pPr>
            <w:r>
              <w:rPr>
                <w:b w:val="0"/>
                <w:sz w:val="20"/>
              </w:rPr>
              <w:t>Policy and source review, evidence boundaries and presentation proofreading.</w:t>
            </w:r>
          </w:p>
        </w:tc>
      </w:tr>
    </w:tbl>
    <w:p>
      <w:pPr>
        <w:pStyle w:val="Heading2"/>
      </w:pPr>
      <w:r>
        <w:t>Required validation</w:t>
      </w:r>
    </w:p>
    <w:p>
      <w:r>
        <w:t>Test conservation of batch quantities, no duplicate allocations, zero demand, demand exceeding stock, same-date batches with different histories and batches becoming ineligible before planned use. The worked example must reproduce 6 kg replenishment. Changing sectors must change need-by timing as well as labels. A hold must prevent approval, and a changed input must invalidate it.</w:t>
      </w:r>
    </w:p>
    <w:p>
      <w:pPr>
        <w:pStyle w:val="Heading2"/>
      </w:pPr>
      <w:r>
        <w:t>How to evaluate the combined product</w:t>
      </w:r>
    </w:p>
    <w:p>
      <w:r>
        <w:t>Compare ordinary quantity-and-date planning with demand planning alone and with demand planning plus the Expiry Twin. Track actual discarded kg per kg handled, stockouts or unmet requirements, purchasing and preparation quantities, sales or usage, and staff effort. Keep model accuracy separate from operational outcomes. Report costs and uncertainty; do not claim prevented methane or emissions without an evidenced disposal counterfactual and suitable factors.</w:t>
      </w:r>
    </w:p>
    <w:p>
      <w:pPr>
        <w:pStyle w:val="Heading2"/>
      </w:pPr>
      <w:r>
        <w:t>Provenance and next requirements</w:t>
      </w:r>
    </w:p>
    <w:p>
      <w:r>
        <w:t>Madhumitha’s food-business prevention and planning idea and the instruction to add Abhishek’s Expiry Twin come from the CliMaze discussion of 3 October 2026. Abhishek’s supplied ShelfShift concept provides the detailed temperature-history, freshness and demand foundation. Scenario parameters and build allocations here are proposals for testing, not agreed commitments or measured results.</w:t>
      </w:r>
    </w:p>
    <w:p>
      <w:r>
        <w:t>Source concept: https://docs.google.com/document/d/1ZumcZYMFaFg_Tg_EN8qrkBcwGvhzRJzQ/edit</w:t>
      </w:r>
    </w:p>
    <w:p>
      <w:r>
        <w:t>Before submission, confirm the organiser’s current deadline, format and video requirements. Before a pilot, secure representative data, partner agreement, an appropriate quality model, access controls and a feasible implementation budget.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CliMaze Integrated Food Waste Prevention Requirements</dc:title>
  <dc:subject/>
  <dc:creator>Madhumitha Challa</dc:creator>
  <cp:keywords/>
  <dc:description>generated by python-docx</dc:description>
  <cp:lastModifiedBy/>
  <cp:revision>1</cp:revision>
  <dcterms:created xsi:type="dcterms:W3CDTF">2013-12-23T23:15:00Z</dcterms:created>
  <dcterms:modified xsi:type="dcterms:W3CDTF">2013-12-23T23:15:00Z</dcterms:modified>
  <cp:category/>
</cp:coreProperties>
</file>