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TSBIE Admission Flow QA Test Plan</w:t>
      </w:r>
    </w:p>
    <w:p>
      <w:r>
        <w:rPr>
          <w:i/>
          <w:sz w:val="20"/>
        </w:rPr>
        <w:t>Project overview and planned validation scope for the Telangana admission journey.</w:t>
      </w:r>
    </w:p>
    <w:p>
      <w:r>
        <w:t>Prepared on: 2026-05-04</w:t>
      </w:r>
    </w:p>
    <w:p>
      <w:pPr>
        <w:pStyle w:val="Heading1"/>
      </w:pPr>
      <w:r>
        <w:t>1. Project Overview</w:t>
      </w:r>
    </w:p>
    <w:p>
      <w:r>
        <w:t>This QA project evaluates the public admission journey exposed on the TSBIE-related website. The objective is to confirm whether a new user can discover the admission path, download the form, and complete the journey without confusion or technical blockers.</w:t>
      </w:r>
    </w:p>
    <w:p>
      <w:pPr>
        <w:pStyle w:val="Heading1"/>
      </w:pPr>
      <w:r>
        <w:t>2. Scope</w:t>
      </w:r>
    </w:p>
    <w:p>
      <w:pPr>
        <w:pStyle w:val="ListBullet"/>
      </w:pPr>
      <w:r>
        <w:t>Homepage visibility of the Admission entry point</w:t>
      </w:r>
    </w:p>
    <w:p>
      <w:pPr>
        <w:pStyle w:val="ListBullet"/>
      </w:pPr>
      <w:r>
        <w:t>Navigation from homepage to admission page</w:t>
      </w:r>
    </w:p>
    <w:p>
      <w:pPr>
        <w:pStyle w:val="ListBullet"/>
      </w:pPr>
      <w:r>
        <w:t>Availability of form download</w:t>
      </w:r>
    </w:p>
    <w:p>
      <w:pPr>
        <w:pStyle w:val="ListBullet"/>
      </w:pPr>
      <w:r>
        <w:t>Presence of upload, submit, and instructional content</w:t>
      </w:r>
    </w:p>
    <w:p>
      <w:pPr>
        <w:pStyle w:val="ListBullet"/>
      </w:pPr>
      <w:r>
        <w:t>End-to-end admission flow continuity</w:t>
      </w:r>
    </w:p>
    <w:p>
      <w:pPr>
        <w:pStyle w:val="ListBullet"/>
      </w:pPr>
      <w:r>
        <w:t>Mobile responsiveness and general UI behavior</w:t>
      </w:r>
    </w:p>
    <w:p>
      <w:pPr>
        <w:pStyle w:val="ListBullet"/>
      </w:pPr>
      <w:r>
        <w:t>External link trust and download reliability</w:t>
      </w:r>
    </w:p>
    <w:p>
      <w:pPr>
        <w:pStyle w:val="Heading1"/>
      </w:pPr>
      <w:r>
        <w:t>3. Test Strategy</w:t>
      </w:r>
    </w:p>
    <w:p>
      <w:r>
        <w:t>Testing was performed as a black-box functional and usability review using the supplied spreadsheet, the provided screenshots, and live content verification of the admission page text.</w:t>
      </w:r>
    </w:p>
    <w:p>
      <w:pPr>
        <w:pStyle w:val="Heading1"/>
      </w:pPr>
      <w:r>
        <w:t>4. Entry /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Criteria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Website accessible, admission path visible, test data workbook available.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All planned cases executed and defects documented with supporting evidence.</w:t>
            </w:r>
          </w:p>
        </w:tc>
      </w:tr>
    </w:tbl>
    <w:p>
      <w:pPr>
        <w:pStyle w:val="Heading1"/>
      </w:pPr>
      <w:r>
        <w:t>5. Deliverables</w:t>
      </w:r>
    </w:p>
    <w:p>
      <w:pPr>
        <w:pStyle w:val="ListBullet"/>
      </w:pPr>
      <w:r>
        <w:t>TestCases.xlsx</w:t>
      </w:r>
    </w:p>
    <w:p>
      <w:pPr>
        <w:pStyle w:val="ListBullet"/>
      </w:pPr>
      <w:r>
        <w:t>BugReport.xlsx</w:t>
      </w:r>
    </w:p>
    <w:p>
      <w:pPr>
        <w:pStyle w:val="ListBullet"/>
      </w:pPr>
      <w:r>
        <w:t>Screenshots folder</w:t>
      </w:r>
    </w:p>
    <w:p>
      <w:pPr>
        <w:pStyle w:val="ListBullet"/>
      </w:pPr>
      <w:r>
        <w:t>TestSummaryReport.docx and PDF</w:t>
      </w:r>
    </w:p>
    <w:p>
      <w:pPr>
        <w:pStyle w:val="ListBullet"/>
      </w:pPr>
      <w:r>
        <w:t>README.md</w:t>
      </w:r>
    </w:p>
    <w:p>
      <w:pPr>
        <w:pStyle w:val="Heading1"/>
      </w:pPr>
      <w:r>
        <w:t>6. Test Summary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Failed</w:t>
            </w:r>
          </w:p>
        </w:tc>
        <w:tc>
          <w:tcPr>
            <w:tcW w:type="dxa" w:w="1728"/>
          </w:tcPr>
          <w:p>
            <w:r>
              <w:t>Needs Improvement</w:t>
            </w:r>
          </w:p>
        </w:tc>
        <w:tc>
          <w:tcPr>
            <w:tcW w:type="dxa" w:w="1728"/>
          </w:tcPr>
          <w:p>
            <w:r>
              <w:t>Pass %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