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i/>
          <w:iCs/>
          <w:sz w:val="28"/>
          <w:szCs w:val="28"/>
        </w:rPr>
        <w:t xml:space="preserve">SAIA OS&amp;D – AI-Based Exception Root Cause Categorization &amp; Prevention</w:t>
      </w:r>
    </w:p>
    <w:p>
      <w:pPr>
        <w:spacing w:after="300"/>
        <w:jc w:val="center"/>
      </w:pPr>
      <w:r>
        <w:rPr>
          <w:i/>
          <w:iCs/>
          <w:sz w:val="24"/>
          <w:szCs w:val="24"/>
        </w:rPr>
        <w:t xml:space="preserve">Requirement Specification</w:t>
      </w:r>
    </w:p>
    <w:p>
      <w:pPr>
        <w:pStyle w:val="Heading1"/>
        <w:spacing w:after="150" w:before="300"/>
      </w:pPr>
      <w:r>
        <w:t xml:space="preserve">1. POC Purpose</w:t>
      </w:r>
    </w:p>
    <w:p>
      <w:pPr>
        <w:spacing w:after="150"/>
      </w:pPr>
      <w:r>
        <w:rPr>
          <w:sz w:val="22"/>
          <w:szCs w:val="22"/>
        </w:rPr>
        <w:t xml:space="preserve">SAIA OS&amp;D captures thousands of exceptions annually across overage, shortage, damage, misdelivery, and on-hand delivery. Today, each exception is investigated individually, but there is no automated mechanism to analyze exceptions collectively to identify systemic root causes or recommend preventive actions. Root cause analysis is manual and inconsistent, recurring patterns across terminals and shipment types go undetected, and preventive measures depend entirely on human interpretation — allowing the same issues to reoccur.</w:t>
      </w:r>
    </w:p>
    <w:p>
      <w:pPr>
        <w:spacing w:after="150"/>
      </w:pPr>
      <w:r>
        <w:rPr>
          <w:sz w:val="22"/>
          <w:szCs w:val="22"/>
        </w:rPr>
        <w:t xml:space="preserve">This POC will demonstrate the feasibility of an AI-based Root Cause Categorization and Prevention Engine that analyzes historical exception investigation data to automatically classify root causes and generate prevention recommendations. The goal of the POC is to validate technical feasibility and business value — it is a proof of concept only, not a production-ready solution, and its output (classifications and recommendations) is intended to be advisory.</w:t>
      </w:r>
    </w:p>
    <w:p>
      <w:pPr>
        <w:pStyle w:val="Heading1"/>
        <w:spacing w:after="150" w:before="300"/>
      </w:pPr>
      <w:r>
        <w:t xml:space="preserve">2. POC Vision</w:t>
      </w:r>
    </w:p>
    <w:p>
      <w:pPr>
        <w:spacing w:after="150"/>
      </w:pPr>
      <w:r>
        <w:rPr>
          <w:sz w:val="22"/>
          <w:szCs w:val="22"/>
        </w:rPr>
        <w:t xml:space="preserve">The end-to-end vision is for exception data to flow from source systems into a continuously learning analytical layer that shifts SAIA from resolving exceptions to preventing them. Historical exception records and free-text investigation notes are extracted from the Exception Data Store, processed by an Investigation Notes Analyzer, and classified by a Root Cause Classification Model into a standard taxonomy (e.g., Improper Packaging, Incorrect Scanning, Misrouting, Labeling Errors, Terminal Handling Issues, Documentation Gaps). Classified patterns are passed to a Recommendation Engine, which generates actionable prevention suggestions (e.g., packaging standards, added scanning checkpoints, routing rule updates, targeted staff training). Results are surfaced through an Operational Insight Dashboard so operations leaders can move from reactive, case-by-case resolution to proactive, data-driven prevention.</w:t>
      </w:r>
    </w:p>
    <w:p>
      <w:pPr>
        <w:spacing w:after="150"/>
      </w:pPr>
      <w:r>
        <w:rPr>
          <w:sz w:val="22"/>
          <w:szCs w:val="22"/>
        </w:rPr>
        <w:t xml:space="preserve">Value chain: Raw exception &amp; investigation data → automated root cause classification → pattern/cluster detection across shipments and terminals → system-generated prevention recommendations → reduced recurring exceptions and revenue leakage.</w:t>
      </w:r>
    </w:p>
    <w:p>
      <w:pPr>
        <w:spacing w:after="100"/>
      </w:pPr>
    </w:p>
    <w:p>
      <w:pPr>
        <w:pStyle w:val="Heading1"/>
        <w:spacing w:after="150" w:before="300"/>
      </w:pPr>
      <w:r>
        <w:t xml:space="preserve">3. Primary POC Outcomes</w:t>
      </w:r>
    </w:p>
    <w:p>
      <w:pPr>
        <w:pStyle w:val="ListParagraph"/>
        <w:numPr>
          <w:ilvl w:val="0"/>
          <w:numId w:val="1"/>
        </w:numPr>
        <w:spacing w:after="60"/>
      </w:pPr>
      <w:r>
        <w:rPr>
          <w:sz w:val="22"/>
          <w:szCs w:val="22"/>
        </w:rPr>
        <w:t xml:space="preserve">Demonstrate that a representative sample of historical exceptions can be automatically classified into a defined set of root cause categories.</w:t>
      </w:r>
    </w:p>
    <w:p>
      <w:pPr>
        <w:pStyle w:val="ListParagraph"/>
        <w:numPr>
          <w:ilvl w:val="0"/>
          <w:numId w:val="1"/>
        </w:numPr>
        <w:spacing w:after="60"/>
      </w:pPr>
      <w:r>
        <w:rPr>
          <w:sz w:val="22"/>
          <w:szCs w:val="22"/>
        </w:rPr>
        <w:t xml:space="preserve">Produce a root cause distribution view showing the proportion of exceptions attributable to each category (e.g., packaging, scanning, misrouting, handling damage, documentation).</w:t>
      </w:r>
    </w:p>
    <w:p>
      <w:pPr>
        <w:pStyle w:val="ListParagraph"/>
        <w:numPr>
          <w:ilvl w:val="0"/>
          <w:numId w:val="1"/>
        </w:numPr>
        <w:spacing w:after="60"/>
      </w:pPr>
      <w:r>
        <w:rPr>
          <w:sz w:val="22"/>
          <w:szCs w:val="22"/>
        </w:rPr>
        <w:t xml:space="preserve">Generate draft, human-readable prevention recommendations tied to identified root cause patterns (e.g., "add mandatory double-scan at a specific terminal").</w:t>
      </w:r>
    </w:p>
    <w:p>
      <w:pPr>
        <w:pStyle w:val="ListParagraph"/>
        <w:numPr>
          <w:ilvl w:val="0"/>
          <w:numId w:val="1"/>
        </w:numPr>
        <w:spacing w:after="60"/>
      </w:pPr>
      <w:r>
        <w:rPr>
          <w:sz w:val="22"/>
          <w:szCs w:val="22"/>
        </w:rPr>
        <w:t xml:space="preserve">Validate root cause classification and recommendation generation using SAIA's Azure OpenAI environment to inform the production build decision.</w:t>
      </w:r>
    </w:p>
    <w:p>
      <w:pPr>
        <w:pStyle w:val="ListParagraph"/>
        <w:numPr>
          <w:ilvl w:val="0"/>
          <w:numId w:val="1"/>
        </w:numPr>
        <w:spacing w:after="60"/>
      </w:pPr>
      <w:r>
        <w:rPr>
          <w:sz w:val="22"/>
          <w:szCs w:val="22"/>
        </w:rPr>
        <w:t xml:space="preserve">Produce a root cause taxonomy, technical design documentation, and sample classified output as inputs to Phase 2 planning.</w:t>
      </w:r>
    </w:p>
    <w:p>
      <w:pPr>
        <w:spacing w:after="100"/>
      </w:pPr>
    </w:p>
    <w:p>
      <w:pPr>
        <w:pStyle w:val="Heading1"/>
        <w:spacing w:after="150" w:before="300"/>
      </w:pPr>
      <w:r>
        <w:t xml:space="preserve">4. POC Scope</w:t>
      </w:r>
    </w:p>
    <w:p>
      <w:pPr>
        <w:spacing w:after="150"/>
      </w:pPr>
      <w:r>
        <w:rPr>
          <w:sz w:val="22"/>
          <w:szCs w:val="22"/>
        </w:rPr>
        <w:t xml:space="preserve">The POC focuses on categorization feasibility using historical data. It does not include production automation.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400"/>
        <w:gridCol w:w="6100"/>
      </w:tblGrid>
      <w:tr>
        <w:trPr>
          <w:tblHeader/>
        </w:trPr>
        <w:tc>
          <w:tcPr>
            <w:tcW w:type="dxa" w:w="3400"/>
            <w:shd w:fill="2E5395" w:color="auto" w:val="clear"/>
            <w:tcMar>
              <w:top w:type="dxa" w:w="100"/>
              <w:left w:type="dxa" w:w="100"/>
              <w:bottom w:type="dxa" w:w="100"/>
              <w:right w:type="dxa" w:w="100"/>
            </w:tcMar>
          </w:tcPr>
          <w:p>
            <w:r>
              <w:rPr>
                <w:b/>
                <w:bCs/>
                <w:color w:val="FFFFFF"/>
                <w:sz w:val="20"/>
                <w:szCs w:val="20"/>
              </w:rPr>
              <w:t xml:space="preserve">Capability</w:t>
            </w:r>
          </w:p>
        </w:tc>
        <w:tc>
          <w:tcPr>
            <w:tcW w:type="dxa" w:w="6100"/>
            <w:shd w:fill="2E5395" w:color="auto" w:val="clear"/>
            <w:tcMar>
              <w:top w:type="dxa" w:w="100"/>
              <w:left w:type="dxa" w:w="100"/>
              <w:bottom w:type="dxa" w:w="100"/>
              <w:right w:type="dxa" w:w="100"/>
            </w:tcMar>
          </w:tcPr>
          <w:p>
            <w:r>
              <w:rPr>
                <w:b/>
                <w:bCs/>
                <w:color w:val="FFFFFF"/>
                <w:sz w:val="20"/>
                <w:szCs w:val="20"/>
              </w:rPr>
              <w:t xml:space="preserve">Expectation / POC Scope</w:t>
            </w:r>
          </w:p>
        </w:tc>
      </w:tr>
      <w:tr>
        <w:tc>
          <w:tcPr>
            <w:tcW w:type="dxa" w:w="3400"/>
            <w:tcMar>
              <w:top w:type="dxa" w:w="100"/>
              <w:left w:type="dxa" w:w="100"/>
              <w:bottom w:type="dxa" w:w="100"/>
              <w:right w:type="dxa" w:w="100"/>
            </w:tcMar>
          </w:tcPr>
          <w:p>
            <w:r>
              <w:rPr>
                <w:b w:val="false"/>
                <w:bCs w:val="false"/>
                <w:sz w:val="20"/>
                <w:szCs w:val="20"/>
              </w:rPr>
              <w:t xml:space="preserve">Root Cause Taxonomy Definition</w:t>
            </w:r>
          </w:p>
        </w:tc>
        <w:tc>
          <w:tcPr>
            <w:tcW w:type="dxa" w:w="6100"/>
            <w:tcMar>
              <w:top w:type="dxa" w:w="100"/>
              <w:left w:type="dxa" w:w="100"/>
              <w:bottom w:type="dxa" w:w="100"/>
              <w:right w:type="dxa" w:w="100"/>
            </w:tcMar>
          </w:tcPr>
          <w:p>
            <w:r>
              <w:rPr>
                <w:b w:val="false"/>
                <w:bCs w:val="false"/>
                <w:sz w:val="20"/>
                <w:szCs w:val="20"/>
              </w:rPr>
              <w:t xml:space="preserve">Define and document a standard set of root cause categories (e.g., Improper Packaging, Incorrect Scanning, Misrouting, Labeling Errors, Terminal Handling Issues, Documentation Gaps) used consistently across SAIA OS&amp;D exceptions.</w:t>
            </w:r>
          </w:p>
        </w:tc>
      </w:tr>
      <w:tr>
        <w:tc>
          <w:tcPr>
            <w:tcW w:type="dxa" w:w="3400"/>
            <w:tcMar>
              <w:top w:type="dxa" w:w="100"/>
              <w:left w:type="dxa" w:w="100"/>
              <w:bottom w:type="dxa" w:w="100"/>
              <w:right w:type="dxa" w:w="100"/>
            </w:tcMar>
          </w:tcPr>
          <w:p>
            <w:r>
              <w:rPr>
                <w:b w:val="false"/>
                <w:bCs w:val="false"/>
                <w:sz w:val="20"/>
                <w:szCs w:val="20"/>
              </w:rPr>
              <w:t xml:space="preserve">Historical Data Extraction</w:t>
            </w:r>
          </w:p>
        </w:tc>
        <w:tc>
          <w:tcPr>
            <w:tcW w:type="dxa" w:w="6100"/>
            <w:tcMar>
              <w:top w:type="dxa" w:w="100"/>
              <w:left w:type="dxa" w:w="100"/>
              <w:bottom w:type="dxa" w:w="100"/>
              <w:right w:type="dxa" w:w="100"/>
            </w:tcMar>
          </w:tcPr>
          <w:p>
            <w:r>
              <w:rPr>
                <w:b w:val="false"/>
                <w:bCs w:val="false"/>
                <w:sz w:val="20"/>
                <w:szCs w:val="20"/>
              </w:rPr>
              <w:t xml:space="preserve">Extract a representative sample of historical exceptions and their investigation notes to support classification and clustering.</w:t>
            </w:r>
          </w:p>
        </w:tc>
      </w:tr>
      <w:tr>
        <w:tc>
          <w:tcPr>
            <w:tcW w:type="dxa" w:w="3400"/>
            <w:tcMar>
              <w:top w:type="dxa" w:w="100"/>
              <w:left w:type="dxa" w:w="100"/>
              <w:bottom w:type="dxa" w:w="100"/>
              <w:right w:type="dxa" w:w="100"/>
            </w:tcMar>
          </w:tcPr>
          <w:p>
            <w:r>
              <w:rPr>
                <w:b w:val="false"/>
                <w:bCs w:val="false"/>
                <w:sz w:val="20"/>
                <w:szCs w:val="20"/>
              </w:rPr>
              <w:t xml:space="preserve">Baseline Clustering Analysis</w:t>
            </w:r>
          </w:p>
        </w:tc>
        <w:tc>
          <w:tcPr>
            <w:tcW w:type="dxa" w:w="6100"/>
            <w:tcMar>
              <w:top w:type="dxa" w:w="100"/>
              <w:left w:type="dxa" w:w="100"/>
              <w:bottom w:type="dxa" w:w="100"/>
              <w:right w:type="dxa" w:w="100"/>
            </w:tcMar>
          </w:tcPr>
          <w:p>
            <w:r>
              <w:rPr>
                <w:b w:val="false"/>
                <w:bCs w:val="false"/>
                <w:sz w:val="20"/>
                <w:szCs w:val="20"/>
              </w:rPr>
              <w:t xml:space="preserve">Group historical exceptions using AI/NLP techniques to validate that resulting clusters align with meaningful, expected root causes.</w:t>
            </w:r>
          </w:p>
        </w:tc>
      </w:tr>
      <w:tr>
        <w:tc>
          <w:tcPr>
            <w:tcW w:type="dxa" w:w="3400"/>
            <w:tcMar>
              <w:top w:type="dxa" w:w="100"/>
              <w:left w:type="dxa" w:w="100"/>
              <w:bottom w:type="dxa" w:w="100"/>
              <w:right w:type="dxa" w:w="100"/>
            </w:tcMar>
          </w:tcPr>
          <w:p>
            <w:r>
              <w:rPr>
                <w:b w:val="false"/>
                <w:bCs w:val="false"/>
                <w:sz w:val="20"/>
                <w:szCs w:val="20"/>
              </w:rPr>
              <w:t xml:space="preserve">Automated Root Cause Categorization</w:t>
            </w:r>
          </w:p>
        </w:tc>
        <w:tc>
          <w:tcPr>
            <w:tcW w:type="dxa" w:w="6100"/>
            <w:tcMar>
              <w:top w:type="dxa" w:w="100"/>
              <w:left w:type="dxa" w:w="100"/>
              <w:bottom w:type="dxa" w:w="100"/>
              <w:right w:type="dxa" w:w="100"/>
            </w:tcMar>
          </w:tcPr>
          <w:p>
            <w:r>
              <w:rPr>
                <w:b w:val="false"/>
                <w:bCs w:val="false"/>
                <w:sz w:val="20"/>
                <w:szCs w:val="20"/>
              </w:rPr>
              <w:t xml:space="preserve">Assign one or more root cause categories to each sample exception based on investigation notes and available metadata.</w:t>
            </w:r>
          </w:p>
        </w:tc>
      </w:tr>
      <w:tr>
        <w:tc>
          <w:tcPr>
            <w:tcW w:type="dxa" w:w="3400"/>
            <w:tcMar>
              <w:top w:type="dxa" w:w="100"/>
              <w:left w:type="dxa" w:w="100"/>
              <w:bottom w:type="dxa" w:w="100"/>
              <w:right w:type="dxa" w:w="100"/>
            </w:tcMar>
          </w:tcPr>
          <w:p>
            <w:r>
              <w:rPr>
                <w:b w:val="false"/>
                <w:bCs w:val="false"/>
                <w:sz w:val="20"/>
                <w:szCs w:val="20"/>
              </w:rPr>
              <w:t xml:space="preserve">Root Cause Distribution Reporting</w:t>
            </w:r>
          </w:p>
        </w:tc>
        <w:tc>
          <w:tcPr>
            <w:tcW w:type="dxa" w:w="6100"/>
            <w:tcMar>
              <w:top w:type="dxa" w:w="100"/>
              <w:left w:type="dxa" w:w="100"/>
              <w:bottom w:type="dxa" w:w="100"/>
              <w:right w:type="dxa" w:w="100"/>
            </w:tcMar>
          </w:tcPr>
          <w:p>
            <w:r>
              <w:rPr>
                <w:b w:val="false"/>
                <w:bCs w:val="false"/>
                <w:sz w:val="20"/>
                <w:szCs w:val="20"/>
              </w:rPr>
              <w:t xml:space="preserve">Summarize the sample dataset to show the percentage of exceptions attributable to each root cause category.</w:t>
            </w:r>
          </w:p>
        </w:tc>
      </w:tr>
      <w:tr>
        <w:tc>
          <w:tcPr>
            <w:tcW w:type="dxa" w:w="3400"/>
            <w:tcMar>
              <w:top w:type="dxa" w:w="100"/>
              <w:left w:type="dxa" w:w="100"/>
              <w:bottom w:type="dxa" w:w="100"/>
              <w:right w:type="dxa" w:w="100"/>
            </w:tcMar>
          </w:tcPr>
          <w:p>
            <w:r>
              <w:rPr>
                <w:b w:val="false"/>
                <w:bCs w:val="false"/>
                <w:sz w:val="20"/>
                <w:szCs w:val="20"/>
              </w:rPr>
              <w:t xml:space="preserve">Draft Prevention Recommendations</w:t>
            </w:r>
          </w:p>
        </w:tc>
        <w:tc>
          <w:tcPr>
            <w:tcW w:type="dxa" w:w="6100"/>
            <w:tcMar>
              <w:top w:type="dxa" w:w="100"/>
              <w:left w:type="dxa" w:w="100"/>
              <w:bottom w:type="dxa" w:w="100"/>
              <w:right w:type="dxa" w:w="100"/>
            </w:tcMar>
          </w:tcPr>
          <w:p>
            <w:r>
              <w:rPr>
                <w:b w:val="false"/>
                <w:bCs w:val="false"/>
                <w:sz w:val="20"/>
                <w:szCs w:val="20"/>
              </w:rPr>
              <w:t xml:space="preserve">Generate example, actionable prevention recommendations tied to identified root cause patterns (e.g., packaging, scanning checkpoints, routing, training).</w:t>
            </w:r>
          </w:p>
        </w:tc>
      </w:tr>
      <w:tr>
        <w:tc>
          <w:tcPr>
            <w:tcW w:type="dxa" w:w="3400"/>
            <w:tcMar>
              <w:top w:type="dxa" w:w="100"/>
              <w:left w:type="dxa" w:w="100"/>
              <w:bottom w:type="dxa" w:w="100"/>
              <w:right w:type="dxa" w:w="100"/>
            </w:tcMar>
          </w:tcPr>
          <w:p>
            <w:r>
              <w:rPr>
                <w:b w:val="false"/>
                <w:bCs w:val="false"/>
                <w:sz w:val="20"/>
                <w:szCs w:val="20"/>
              </w:rPr>
              <w:t xml:space="preserve">Technical Design Documentation</w:t>
            </w:r>
          </w:p>
        </w:tc>
        <w:tc>
          <w:tcPr>
            <w:tcW w:type="dxa" w:w="6100"/>
            <w:tcMar>
              <w:top w:type="dxa" w:w="100"/>
              <w:left w:type="dxa" w:w="100"/>
              <w:bottom w:type="dxa" w:w="100"/>
              <w:right w:type="dxa" w:w="100"/>
            </w:tcMar>
          </w:tcPr>
          <w:p>
            <w:r>
              <w:rPr>
                <w:b w:val="false"/>
                <w:bCs w:val="false"/>
                <w:sz w:val="20"/>
                <w:szCs w:val="20"/>
              </w:rPr>
              <w:t xml:space="preserve">Document the proposed architecture and data flow, built on SAIA's Azure OpenAI environment, to support a Phase 2 production investment decision.</w:t>
            </w:r>
          </w:p>
        </w:tc>
      </w:tr>
    </w:tbl>
    <w:p>
      <w:pPr>
        <w:spacing w:after="100"/>
      </w:pPr>
    </w:p>
    <w:p>
      <w:pPr>
        <w:pStyle w:val="Heading1"/>
        <w:spacing w:after="150" w:before="300"/>
      </w:pPr>
      <w:r>
        <w:t xml:space="preserve">5. Out of Scope for POC</w:t>
      </w:r>
    </w:p>
    <w:p>
      <w:pPr>
        <w:pStyle w:val="ListParagraph"/>
        <w:numPr>
          <w:ilvl w:val="0"/>
          <w:numId w:val="1"/>
        </w:numPr>
        <w:spacing w:after="60"/>
      </w:pPr>
      <w:r>
        <w:rPr>
          <w:sz w:val="22"/>
          <w:szCs w:val="22"/>
        </w:rPr>
        <w:t xml:space="preserve">Production-grade, continuously trained ML models.</w:t>
      </w:r>
    </w:p>
    <w:p>
      <w:pPr>
        <w:pStyle w:val="ListParagraph"/>
        <w:numPr>
          <w:ilvl w:val="0"/>
          <w:numId w:val="1"/>
        </w:numPr>
        <w:spacing w:after="60"/>
      </w:pPr>
      <w:r>
        <w:rPr>
          <w:sz w:val="22"/>
          <w:szCs w:val="22"/>
        </w:rPr>
        <w:t xml:space="preserve">Automated prevention workflows or auto-remediation of exceptions.</w:t>
      </w:r>
    </w:p>
    <w:p>
      <w:pPr>
        <w:pStyle w:val="ListParagraph"/>
        <w:numPr>
          <w:ilvl w:val="0"/>
          <w:numId w:val="1"/>
        </w:numPr>
        <w:spacing w:after="60"/>
      </w:pPr>
      <w:r>
        <w:rPr>
          <w:sz w:val="22"/>
          <w:szCs w:val="22"/>
        </w:rPr>
        <w:t xml:space="preserve">Live, real-time operational dashboards.</w:t>
      </w:r>
    </w:p>
    <w:p>
      <w:pPr>
        <w:pStyle w:val="ListParagraph"/>
        <w:numPr>
          <w:ilvl w:val="0"/>
          <w:numId w:val="1"/>
        </w:numPr>
        <w:spacing w:after="60"/>
      </w:pPr>
      <w:r>
        <w:rPr>
          <w:sz w:val="22"/>
          <w:szCs w:val="22"/>
        </w:rPr>
        <w:t xml:space="preserve">Financial impact / revenue leakage prediction.</w:t>
      </w:r>
    </w:p>
    <w:p>
      <w:pPr>
        <w:pStyle w:val="ListParagraph"/>
        <w:numPr>
          <w:ilvl w:val="0"/>
          <w:numId w:val="1"/>
        </w:numPr>
        <w:spacing w:after="60"/>
      </w:pPr>
      <w:r>
        <w:rPr>
          <w:sz w:val="22"/>
          <w:szCs w:val="22"/>
        </w:rPr>
        <w:t xml:space="preserve">Integration with live shipment planning, routing, or scanning systems.</w:t>
      </w:r>
    </w:p>
    <w:p>
      <w:pPr>
        <w:pStyle w:val="ListParagraph"/>
        <w:numPr>
          <w:ilvl w:val="0"/>
          <w:numId w:val="1"/>
        </w:numPr>
        <w:spacing w:after="60"/>
      </w:pPr>
      <w:r>
        <w:rPr>
          <w:sz w:val="22"/>
          <w:szCs w:val="22"/>
        </w:rPr>
        <w:t xml:space="preserve">Terminal-level or company-wide automated alerting.</w:t>
      </w:r>
    </w:p>
    <w:p>
      <w:pPr>
        <w:spacing w:after="100"/>
      </w:pPr>
    </w:p>
    <w:p>
      <w:pPr>
        <w:pStyle w:val="Heading1"/>
        <w:spacing w:after="150" w:before="300"/>
      </w:pPr>
      <w:r>
        <w:t xml:space="preserve">6. Expected Data Inputs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3700"/>
        <w:gridCol w:w="3200"/>
      </w:tblGrid>
      <w:tr>
        <w:trPr>
          <w:tblHeader/>
        </w:trPr>
        <w:tc>
          <w:tcPr>
            <w:tcW w:type="dxa" w:w="2600"/>
            <w:shd w:fill="2E5395" w:color="auto" w:val="clear"/>
            <w:tcMar>
              <w:top w:type="dxa" w:w="100"/>
              <w:left w:type="dxa" w:w="100"/>
              <w:bottom w:type="dxa" w:w="100"/>
              <w:right w:type="dxa" w:w="100"/>
            </w:tcMar>
          </w:tcPr>
          <w:p>
            <w:r>
              <w:rPr>
                <w:b/>
                <w:bCs/>
                <w:color w:val="FFFFFF"/>
                <w:sz w:val="20"/>
                <w:szCs w:val="20"/>
              </w:rPr>
              <w:t xml:space="preserve">Data Domain</w:t>
            </w:r>
          </w:p>
        </w:tc>
        <w:tc>
          <w:tcPr>
            <w:tcW w:type="dxa" w:w="3700"/>
            <w:shd w:fill="2E5395" w:color="auto" w:val="clear"/>
            <w:tcMar>
              <w:top w:type="dxa" w:w="100"/>
              <w:left w:type="dxa" w:w="100"/>
              <w:bottom w:type="dxa" w:w="100"/>
              <w:right w:type="dxa" w:w="100"/>
            </w:tcMar>
          </w:tcPr>
          <w:p>
            <w:r>
              <w:rPr>
                <w:b/>
                <w:bCs/>
                <w:color w:val="FFFFFF"/>
                <w:sz w:val="20"/>
                <w:szCs w:val="20"/>
              </w:rPr>
              <w:t xml:space="preserve">Example Fields / Attributes</w:t>
            </w:r>
          </w:p>
        </w:tc>
        <w:tc>
          <w:tcPr>
            <w:tcW w:type="dxa" w:w="3200"/>
            <w:shd w:fill="2E5395" w:color="auto" w:val="clear"/>
            <w:tcMar>
              <w:top w:type="dxa" w:w="100"/>
              <w:left w:type="dxa" w:w="100"/>
              <w:bottom w:type="dxa" w:w="100"/>
              <w:right w:type="dxa" w:w="100"/>
            </w:tcMar>
          </w:tcPr>
          <w:p>
            <w:r>
              <w:rPr>
                <w:b/>
                <w:bCs/>
                <w:color w:val="FFFFFF"/>
                <w:sz w:val="20"/>
                <w:szCs w:val="20"/>
              </w:rPr>
              <w:t xml:space="preserve">Purpose</w:t>
            </w:r>
          </w:p>
        </w:tc>
      </w:tr>
      <w:tr>
        <w:tc>
          <w:tcPr>
            <w:tcW w:type="dxa" w:w="2600"/>
            <w:tcMar>
              <w:top w:type="dxa" w:w="100"/>
              <w:left w:type="dxa" w:w="100"/>
              <w:bottom w:type="dxa" w:w="100"/>
              <w:right w:type="dxa" w:w="100"/>
            </w:tcMar>
          </w:tcPr>
          <w:p>
            <w:r>
              <w:rPr>
                <w:b w:val="false"/>
                <w:bCs w:val="false"/>
                <w:sz w:val="20"/>
                <w:szCs w:val="20"/>
              </w:rPr>
              <w:t xml:space="preserve">Exception Records</w:t>
            </w:r>
          </w:p>
        </w:tc>
        <w:tc>
          <w:tcPr>
            <w:tcW w:type="dxa" w:w="3700"/>
            <w:tcMar>
              <w:top w:type="dxa" w:w="100"/>
              <w:left w:type="dxa" w:w="100"/>
              <w:bottom w:type="dxa" w:w="100"/>
              <w:right w:type="dxa" w:w="100"/>
            </w:tcMar>
          </w:tcPr>
          <w:p>
            <w:r>
              <w:rPr>
                <w:b w:val="false"/>
                <w:bCs w:val="false"/>
                <w:sz w:val="20"/>
                <w:szCs w:val="20"/>
              </w:rPr>
              <w:t xml:space="preserve">Exception ID, exception type (overage, shortage, damage, misdelivery, on-hand), date, terminal, shipment ID, status</w:t>
            </w:r>
          </w:p>
        </w:tc>
        <w:tc>
          <w:tcPr>
            <w:tcW w:type="dxa" w:w="3200"/>
            <w:tcMar>
              <w:top w:type="dxa" w:w="100"/>
              <w:left w:type="dxa" w:w="100"/>
              <w:bottom w:type="dxa" w:w="100"/>
              <w:right w:type="dxa" w:w="100"/>
            </w:tcMar>
          </w:tcPr>
          <w:p>
            <w:r>
              <w:rPr>
                <w:b w:val="false"/>
                <w:bCs w:val="false"/>
                <w:sz w:val="20"/>
                <w:szCs w:val="20"/>
              </w:rPr>
              <w:t xml:space="preserve">Base population of exceptions to be analyzed and classified.</w:t>
            </w:r>
          </w:p>
        </w:tc>
      </w:tr>
      <w:tr>
        <w:tc>
          <w:tcPr>
            <w:tcW w:type="dxa" w:w="2600"/>
            <w:tcMar>
              <w:top w:type="dxa" w:w="100"/>
              <w:left w:type="dxa" w:w="100"/>
              <w:bottom w:type="dxa" w:w="100"/>
              <w:right w:type="dxa" w:w="100"/>
            </w:tcMar>
          </w:tcPr>
          <w:p>
            <w:r>
              <w:rPr>
                <w:b w:val="false"/>
                <w:bCs w:val="false"/>
                <w:sz w:val="20"/>
                <w:szCs w:val="20"/>
              </w:rPr>
              <w:t xml:space="preserve">Investigation Notes</w:t>
            </w:r>
          </w:p>
        </w:tc>
        <w:tc>
          <w:tcPr>
            <w:tcW w:type="dxa" w:w="3700"/>
            <w:tcMar>
              <w:top w:type="dxa" w:w="100"/>
              <w:left w:type="dxa" w:w="100"/>
              <w:bottom w:type="dxa" w:w="100"/>
              <w:right w:type="dxa" w:w="100"/>
            </w:tcMar>
          </w:tcPr>
          <w:p>
            <w:r>
              <w:rPr>
                <w:b w:val="false"/>
                <w:bCs w:val="false"/>
                <w:sz w:val="20"/>
                <w:szCs w:val="20"/>
              </w:rPr>
              <w:t xml:space="preserve">Free-text investigator notes, findings, resolution description</w:t>
            </w:r>
          </w:p>
        </w:tc>
        <w:tc>
          <w:tcPr>
            <w:tcW w:type="dxa" w:w="3200"/>
            <w:tcMar>
              <w:top w:type="dxa" w:w="100"/>
              <w:left w:type="dxa" w:w="100"/>
              <w:bottom w:type="dxa" w:w="100"/>
              <w:right w:type="dxa" w:w="100"/>
            </w:tcMar>
          </w:tcPr>
          <w:p>
            <w:r>
              <w:rPr>
                <w:b w:val="false"/>
                <w:bCs w:val="false"/>
                <w:sz w:val="20"/>
                <w:szCs w:val="20"/>
              </w:rPr>
              <w:t xml:space="preserve">Primary text source used by the model to infer root cause.</w:t>
            </w:r>
          </w:p>
        </w:tc>
      </w:tr>
      <w:tr>
        <w:tc>
          <w:tcPr>
            <w:tcW w:type="dxa" w:w="2600"/>
            <w:tcMar>
              <w:top w:type="dxa" w:w="100"/>
              <w:left w:type="dxa" w:w="100"/>
              <w:bottom w:type="dxa" w:w="100"/>
              <w:right w:type="dxa" w:w="100"/>
            </w:tcMar>
          </w:tcPr>
          <w:p>
            <w:r>
              <w:rPr>
                <w:b w:val="false"/>
                <w:bCs w:val="false"/>
                <w:sz w:val="20"/>
                <w:szCs w:val="20"/>
              </w:rPr>
              <w:t xml:space="preserve">Resolution Tracking Data</w:t>
            </w:r>
          </w:p>
        </w:tc>
        <w:tc>
          <w:tcPr>
            <w:tcW w:type="dxa" w:w="3700"/>
            <w:tcMar>
              <w:top w:type="dxa" w:w="100"/>
              <w:left w:type="dxa" w:w="100"/>
              <w:bottom w:type="dxa" w:w="100"/>
              <w:right w:type="dxa" w:w="100"/>
            </w:tcMar>
          </w:tcPr>
          <w:p>
            <w:r>
              <w:rPr>
                <w:b w:val="false"/>
                <w:bCs w:val="false"/>
                <w:sz w:val="20"/>
                <w:szCs w:val="20"/>
              </w:rPr>
              <w:t xml:space="preserve">Resolution code, resolution date, outcome/status</w:t>
            </w:r>
          </w:p>
        </w:tc>
        <w:tc>
          <w:tcPr>
            <w:tcW w:type="dxa" w:w="3200"/>
            <w:tcMar>
              <w:top w:type="dxa" w:w="100"/>
              <w:left w:type="dxa" w:w="100"/>
              <w:bottom w:type="dxa" w:w="100"/>
              <w:right w:type="dxa" w:w="100"/>
            </w:tcMar>
          </w:tcPr>
          <w:p>
            <w:r>
              <w:rPr>
                <w:b w:val="false"/>
                <w:bCs w:val="false"/>
                <w:sz w:val="20"/>
                <w:szCs w:val="20"/>
              </w:rPr>
              <w:t xml:space="preserve">Cross-check and validate root cause classifications derived from notes.</w:t>
            </w:r>
          </w:p>
        </w:tc>
      </w:tr>
      <w:tr>
        <w:tc>
          <w:tcPr>
            <w:tcW w:type="dxa" w:w="2600"/>
            <w:tcMar>
              <w:top w:type="dxa" w:w="100"/>
              <w:left w:type="dxa" w:w="100"/>
              <w:bottom w:type="dxa" w:w="100"/>
              <w:right w:type="dxa" w:w="100"/>
            </w:tcMar>
          </w:tcPr>
          <w:p>
            <w:r>
              <w:rPr>
                <w:b w:val="false"/>
                <w:bCs w:val="false"/>
                <w:sz w:val="20"/>
                <w:szCs w:val="20"/>
              </w:rPr>
              <w:t xml:space="preserve">Clearing Code Data</w:t>
            </w:r>
          </w:p>
        </w:tc>
        <w:tc>
          <w:tcPr>
            <w:tcW w:type="dxa" w:w="3700"/>
            <w:tcMar>
              <w:top w:type="dxa" w:w="100"/>
              <w:left w:type="dxa" w:w="100"/>
              <w:bottom w:type="dxa" w:w="100"/>
              <w:right w:type="dxa" w:w="100"/>
            </w:tcMar>
          </w:tcPr>
          <w:p>
            <w:r>
              <w:rPr>
                <w:b w:val="false"/>
                <w:bCs w:val="false"/>
                <w:sz w:val="20"/>
                <w:szCs w:val="20"/>
              </w:rPr>
              <w:t xml:space="preserve">Clearing code / claim closure code — currently missing from available exports and needs to be sourced/confirmed</w:t>
            </w:r>
          </w:p>
        </w:tc>
        <w:tc>
          <w:tcPr>
            <w:tcW w:type="dxa" w:w="3200"/>
            <w:tcMar>
              <w:top w:type="dxa" w:w="100"/>
              <w:left w:type="dxa" w:w="100"/>
              <w:bottom w:type="dxa" w:w="100"/>
              <w:right w:type="dxa" w:w="100"/>
            </w:tcMar>
          </w:tcPr>
          <w:p>
            <w:r>
              <w:rPr>
                <w:b w:val="false"/>
                <w:bCs w:val="false"/>
                <w:sz w:val="20"/>
                <w:szCs w:val="20"/>
              </w:rPr>
              <w:t xml:space="preserve">Cross-validate root cause classification against final claim disposition; flagged as an open data gap to resolve before/during the POC.</w:t>
            </w:r>
          </w:p>
        </w:tc>
      </w:tr>
      <w:tr>
        <w:tc>
          <w:tcPr>
            <w:tcW w:type="dxa" w:w="2600"/>
            <w:tcMar>
              <w:top w:type="dxa" w:w="100"/>
              <w:left w:type="dxa" w:w="100"/>
              <w:bottom w:type="dxa" w:w="100"/>
              <w:right w:type="dxa" w:w="100"/>
            </w:tcMar>
          </w:tcPr>
          <w:p>
            <w:r>
              <w:rPr>
                <w:b w:val="false"/>
                <w:bCs w:val="false"/>
                <w:sz w:val="20"/>
                <w:szCs w:val="20"/>
              </w:rPr>
              <w:t xml:space="preserve">Shipment &amp; Terminal Metadata</w:t>
            </w:r>
          </w:p>
        </w:tc>
        <w:tc>
          <w:tcPr>
            <w:tcW w:type="dxa" w:w="3700"/>
            <w:tcMar>
              <w:top w:type="dxa" w:w="100"/>
              <w:left w:type="dxa" w:w="100"/>
              <w:bottom w:type="dxa" w:w="100"/>
              <w:right w:type="dxa" w:w="100"/>
            </w:tcMar>
          </w:tcPr>
          <w:p>
            <w:r>
              <w:rPr>
                <w:b w:val="false"/>
                <w:bCs w:val="false"/>
                <w:sz w:val="20"/>
                <w:szCs w:val="20"/>
              </w:rPr>
              <w:t xml:space="preserve">Terminal ID/name, region, route, shipment type, freight class</w:t>
            </w:r>
          </w:p>
        </w:tc>
        <w:tc>
          <w:tcPr>
            <w:tcW w:type="dxa" w:w="3200"/>
            <w:tcMar>
              <w:top w:type="dxa" w:w="100"/>
              <w:left w:type="dxa" w:w="100"/>
              <w:bottom w:type="dxa" w:w="100"/>
              <w:right w:type="dxa" w:w="100"/>
            </w:tcMar>
          </w:tcPr>
          <w:p>
            <w:r>
              <w:rPr>
                <w:b w:val="false"/>
                <w:bCs w:val="false"/>
                <w:sz w:val="20"/>
                <w:szCs w:val="20"/>
              </w:rPr>
              <w:t xml:space="preserve">Enables terminal-level and route-level pattern detection.</w:t>
            </w:r>
          </w:p>
        </w:tc>
      </w:tr>
      <w:tr>
        <w:tc>
          <w:tcPr>
            <w:tcW w:type="dxa" w:w="2600"/>
            <w:tcMar>
              <w:top w:type="dxa" w:w="100"/>
              <w:left w:type="dxa" w:w="100"/>
              <w:bottom w:type="dxa" w:w="100"/>
              <w:right w:type="dxa" w:w="100"/>
            </w:tcMar>
          </w:tcPr>
          <w:p>
            <w:r>
              <w:rPr>
                <w:b w:val="false"/>
                <w:bCs w:val="false"/>
                <w:sz w:val="20"/>
                <w:szCs w:val="20"/>
              </w:rPr>
              <w:t xml:space="preserve">Root Cause Taxonomy (reference)</w:t>
            </w:r>
          </w:p>
        </w:tc>
        <w:tc>
          <w:tcPr>
            <w:tcW w:type="dxa" w:w="3700"/>
            <w:tcMar>
              <w:top w:type="dxa" w:w="100"/>
              <w:left w:type="dxa" w:w="100"/>
              <w:bottom w:type="dxa" w:w="100"/>
              <w:right w:type="dxa" w:w="100"/>
            </w:tcMar>
          </w:tcPr>
          <w:p>
            <w:r>
              <w:rPr>
                <w:b w:val="false"/>
                <w:bCs w:val="false"/>
                <w:sz w:val="20"/>
                <w:szCs w:val="20"/>
              </w:rPr>
              <w:t xml:space="preserve">Category ID, category name, definition</w:t>
            </w:r>
          </w:p>
        </w:tc>
        <w:tc>
          <w:tcPr>
            <w:tcW w:type="dxa" w:w="3200"/>
            <w:tcMar>
              <w:top w:type="dxa" w:w="100"/>
              <w:left w:type="dxa" w:w="100"/>
              <w:bottom w:type="dxa" w:w="100"/>
              <w:right w:type="dxa" w:w="100"/>
            </w:tcMar>
          </w:tcPr>
          <w:p>
            <w:r>
              <w:rPr>
                <w:b w:val="false"/>
                <w:bCs w:val="false"/>
                <w:sz w:val="20"/>
                <w:szCs w:val="20"/>
              </w:rPr>
              <w:t xml:space="preserve">Standard categories used to label and report on exceptions.</w:t>
            </w:r>
          </w:p>
        </w:tc>
      </w:tr>
    </w:tbl>
    <w:p>
      <w:pPr>
        <w:spacing w:after="150"/>
      </w:pPr>
      <w:r>
        <w:rPr>
          <w:sz w:val="22"/>
          <w:szCs w:val="22"/>
        </w:rPr>
        <w:t xml:space="preserve">Note: Clearing code detail is not currently available in the data extracts reviewed for this POC. This should be confirmed with the source system owners and added to the data extraction plan before classification begins, since it is expected to support validation of model-assigned root causes against final claim outcomes.</w:t>
      </w:r>
    </w:p>
    <w:p>
      <w:pPr>
        <w:spacing w:after="100"/>
      </w:pPr>
    </w:p>
    <w:p>
      <w:pPr>
        <w:pStyle w:val="Heading1"/>
        <w:spacing w:after="150" w:before="300"/>
      </w:pPr>
      <w:r>
        <w:t xml:space="preserve">7. Minimum POC Data Model</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400"/>
        <w:gridCol w:w="6100"/>
      </w:tblGrid>
      <w:tr>
        <w:trPr>
          <w:tblHeader/>
        </w:trPr>
        <w:tc>
          <w:tcPr>
            <w:tcW w:type="dxa" w:w="3400"/>
            <w:shd w:fill="2E5395" w:color="auto" w:val="clear"/>
            <w:tcMar>
              <w:top w:type="dxa" w:w="100"/>
              <w:left w:type="dxa" w:w="100"/>
              <w:bottom w:type="dxa" w:w="100"/>
              <w:right w:type="dxa" w:w="100"/>
            </w:tcMar>
          </w:tcPr>
          <w:p>
            <w:r>
              <w:rPr>
                <w:b/>
                <w:bCs/>
                <w:color w:val="FFFFFF"/>
                <w:sz w:val="20"/>
                <w:szCs w:val="20"/>
              </w:rPr>
              <w:t xml:space="preserve">Entity</w:t>
            </w:r>
          </w:p>
        </w:tc>
        <w:tc>
          <w:tcPr>
            <w:tcW w:type="dxa" w:w="6100"/>
            <w:shd w:fill="2E5395" w:color="auto" w:val="clear"/>
            <w:tcMar>
              <w:top w:type="dxa" w:w="100"/>
              <w:left w:type="dxa" w:w="100"/>
              <w:bottom w:type="dxa" w:w="100"/>
              <w:right w:type="dxa" w:w="100"/>
            </w:tcMar>
          </w:tcPr>
          <w:p>
            <w:r>
              <w:rPr>
                <w:b/>
                <w:bCs/>
                <w:color w:val="FFFFFF"/>
                <w:sz w:val="20"/>
                <w:szCs w:val="20"/>
              </w:rPr>
              <w:t xml:space="preserve">Key Attributes</w:t>
            </w:r>
          </w:p>
        </w:tc>
      </w:tr>
      <w:tr>
        <w:tc>
          <w:tcPr>
            <w:tcW w:type="dxa" w:w="3400"/>
            <w:tcMar>
              <w:top w:type="dxa" w:w="100"/>
              <w:left w:type="dxa" w:w="100"/>
              <w:bottom w:type="dxa" w:w="100"/>
              <w:right w:type="dxa" w:w="100"/>
            </w:tcMar>
          </w:tcPr>
          <w:p>
            <w:r>
              <w:rPr>
                <w:b w:val="false"/>
                <w:bCs w:val="false"/>
                <w:sz w:val="20"/>
                <w:szCs w:val="20"/>
              </w:rPr>
              <w:t xml:space="preserve">Exception</w:t>
            </w:r>
          </w:p>
        </w:tc>
        <w:tc>
          <w:tcPr>
            <w:tcW w:type="dxa" w:w="6100"/>
            <w:tcMar>
              <w:top w:type="dxa" w:w="100"/>
              <w:left w:type="dxa" w:w="100"/>
              <w:bottom w:type="dxa" w:w="100"/>
              <w:right w:type="dxa" w:w="100"/>
            </w:tcMar>
          </w:tcPr>
          <w:p>
            <w:r>
              <w:rPr>
                <w:b w:val="false"/>
                <w:bCs w:val="false"/>
                <w:sz w:val="20"/>
                <w:szCs w:val="20"/>
              </w:rPr>
              <w:t xml:space="preserve">Exception ID, Type, Date, Terminal ID, Shipment ID, Status</w:t>
            </w:r>
          </w:p>
        </w:tc>
      </w:tr>
      <w:tr>
        <w:tc>
          <w:tcPr>
            <w:tcW w:type="dxa" w:w="3400"/>
            <w:tcMar>
              <w:top w:type="dxa" w:w="100"/>
              <w:left w:type="dxa" w:w="100"/>
              <w:bottom w:type="dxa" w:w="100"/>
              <w:right w:type="dxa" w:w="100"/>
            </w:tcMar>
          </w:tcPr>
          <w:p>
            <w:r>
              <w:rPr>
                <w:b w:val="false"/>
                <w:bCs w:val="false"/>
                <w:sz w:val="20"/>
                <w:szCs w:val="20"/>
              </w:rPr>
              <w:t xml:space="preserve">Investigation</w:t>
            </w:r>
          </w:p>
        </w:tc>
        <w:tc>
          <w:tcPr>
            <w:tcW w:type="dxa" w:w="6100"/>
            <w:tcMar>
              <w:top w:type="dxa" w:w="100"/>
              <w:left w:type="dxa" w:w="100"/>
              <w:bottom w:type="dxa" w:w="100"/>
              <w:right w:type="dxa" w:w="100"/>
            </w:tcMar>
          </w:tcPr>
          <w:p>
            <w:r>
              <w:rPr>
                <w:b w:val="false"/>
                <w:bCs w:val="false"/>
                <w:sz w:val="20"/>
                <w:szCs w:val="20"/>
              </w:rPr>
              <w:t xml:space="preserve">Investigation ID, Exception ID (FK), Notes Text, Investigator, Resolution Description</w:t>
            </w:r>
          </w:p>
        </w:tc>
      </w:tr>
      <w:tr>
        <w:tc>
          <w:tcPr>
            <w:tcW w:type="dxa" w:w="3400"/>
            <w:tcMar>
              <w:top w:type="dxa" w:w="100"/>
              <w:left w:type="dxa" w:w="100"/>
              <w:bottom w:type="dxa" w:w="100"/>
              <w:right w:type="dxa" w:w="100"/>
            </w:tcMar>
          </w:tcPr>
          <w:p>
            <w:r>
              <w:rPr>
                <w:b w:val="false"/>
                <w:bCs w:val="false"/>
                <w:sz w:val="20"/>
                <w:szCs w:val="20"/>
              </w:rPr>
              <w:t xml:space="preserve">Root Cause Category</w:t>
            </w:r>
          </w:p>
        </w:tc>
        <w:tc>
          <w:tcPr>
            <w:tcW w:type="dxa" w:w="6100"/>
            <w:tcMar>
              <w:top w:type="dxa" w:w="100"/>
              <w:left w:type="dxa" w:w="100"/>
              <w:bottom w:type="dxa" w:w="100"/>
              <w:right w:type="dxa" w:w="100"/>
            </w:tcMar>
          </w:tcPr>
          <w:p>
            <w:r>
              <w:rPr>
                <w:b w:val="false"/>
                <w:bCs w:val="false"/>
                <w:sz w:val="20"/>
                <w:szCs w:val="20"/>
              </w:rPr>
              <w:t xml:space="preserve">Category ID, Category Name, Description</w:t>
            </w:r>
          </w:p>
        </w:tc>
      </w:tr>
      <w:tr>
        <w:tc>
          <w:tcPr>
            <w:tcW w:type="dxa" w:w="3400"/>
            <w:tcMar>
              <w:top w:type="dxa" w:w="100"/>
              <w:left w:type="dxa" w:w="100"/>
              <w:bottom w:type="dxa" w:w="100"/>
              <w:right w:type="dxa" w:w="100"/>
            </w:tcMar>
          </w:tcPr>
          <w:p>
            <w:r>
              <w:rPr>
                <w:b w:val="false"/>
                <w:bCs w:val="false"/>
                <w:sz w:val="20"/>
                <w:szCs w:val="20"/>
              </w:rPr>
              <w:t xml:space="preserve">Exception Root Cause Assignment</w:t>
            </w:r>
          </w:p>
        </w:tc>
        <w:tc>
          <w:tcPr>
            <w:tcW w:type="dxa" w:w="6100"/>
            <w:tcMar>
              <w:top w:type="dxa" w:w="100"/>
              <w:left w:type="dxa" w:w="100"/>
              <w:bottom w:type="dxa" w:w="100"/>
              <w:right w:type="dxa" w:w="100"/>
            </w:tcMar>
          </w:tcPr>
          <w:p>
            <w:r>
              <w:rPr>
                <w:b w:val="false"/>
                <w:bCs w:val="false"/>
                <w:sz w:val="20"/>
                <w:szCs w:val="20"/>
              </w:rPr>
              <w:t xml:space="preserve">Exception ID (FK), Category ID (FK), Confidence/Source (model-assigned vs. manual)</w:t>
            </w:r>
          </w:p>
        </w:tc>
      </w:tr>
      <w:tr>
        <w:tc>
          <w:tcPr>
            <w:tcW w:type="dxa" w:w="3400"/>
            <w:tcMar>
              <w:top w:type="dxa" w:w="100"/>
              <w:left w:type="dxa" w:w="100"/>
              <w:bottom w:type="dxa" w:w="100"/>
              <w:right w:type="dxa" w:w="100"/>
            </w:tcMar>
          </w:tcPr>
          <w:p>
            <w:r>
              <w:rPr>
                <w:b w:val="false"/>
                <w:bCs w:val="false"/>
                <w:sz w:val="20"/>
                <w:szCs w:val="20"/>
              </w:rPr>
              <w:t xml:space="preserve">Prevention Recommendation</w:t>
            </w:r>
          </w:p>
        </w:tc>
        <w:tc>
          <w:tcPr>
            <w:tcW w:type="dxa" w:w="6100"/>
            <w:tcMar>
              <w:top w:type="dxa" w:w="100"/>
              <w:left w:type="dxa" w:w="100"/>
              <w:bottom w:type="dxa" w:w="100"/>
              <w:right w:type="dxa" w:w="100"/>
            </w:tcMar>
          </w:tcPr>
          <w:p>
            <w:r>
              <w:rPr>
                <w:b w:val="false"/>
                <w:bCs w:val="false"/>
                <w:sz w:val="20"/>
                <w:szCs w:val="20"/>
              </w:rPr>
              <w:t xml:space="preserve">Recommendation ID, Related Category ID, Recommendation Text, Status</w:t>
            </w:r>
          </w:p>
        </w:tc>
      </w:tr>
      <w:tr>
        <w:tc>
          <w:tcPr>
            <w:tcW w:type="dxa" w:w="3400"/>
            <w:tcMar>
              <w:top w:type="dxa" w:w="100"/>
              <w:left w:type="dxa" w:w="100"/>
              <w:bottom w:type="dxa" w:w="100"/>
              <w:right w:type="dxa" w:w="100"/>
            </w:tcMar>
          </w:tcPr>
          <w:p>
            <w:r>
              <w:rPr>
                <w:b w:val="false"/>
                <w:bCs w:val="false"/>
                <w:sz w:val="20"/>
                <w:szCs w:val="20"/>
              </w:rPr>
              <w:t xml:space="preserve">Terminal</w:t>
            </w:r>
          </w:p>
        </w:tc>
        <w:tc>
          <w:tcPr>
            <w:tcW w:type="dxa" w:w="6100"/>
            <w:tcMar>
              <w:top w:type="dxa" w:w="100"/>
              <w:left w:type="dxa" w:w="100"/>
              <w:bottom w:type="dxa" w:w="100"/>
              <w:right w:type="dxa" w:w="100"/>
            </w:tcMar>
          </w:tcPr>
          <w:p>
            <w:r>
              <w:rPr>
                <w:b w:val="false"/>
                <w:bCs w:val="false"/>
                <w:sz w:val="20"/>
                <w:szCs w:val="20"/>
              </w:rPr>
              <w:t xml:space="preserve">Terminal ID, Name, Region</w:t>
            </w:r>
          </w:p>
        </w:tc>
      </w:tr>
    </w:tbl>
    <w:p>
      <w:pPr>
        <w:spacing w:after="100"/>
      </w:pPr>
    </w:p>
    <w:p>
      <w:pPr>
        <w:pStyle w:val="Heading1"/>
        <w:spacing w:after="150" w:before="300"/>
      </w:pPr>
      <w:r>
        <w:t xml:space="preserve">8. Requirement Specifications:</w:t>
      </w:r>
    </w:p>
    <w:p>
      <w:pPr>
        <w:pStyle w:val="Heading2"/>
        <w:spacing w:after="100" w:before="150"/>
      </w:pPr>
      <w:r>
        <w:t xml:space="preserve">8.1 Automatic Root Cause Categorization</w:t>
      </w:r>
    </w:p>
    <w:p>
      <w:pPr>
        <w:spacing w:after="150"/>
      </w:pPr>
      <w:r>
        <w:rPr>
          <w:sz w:val="22"/>
          <w:szCs w:val="22"/>
        </w:rPr>
        <w:t xml:space="preserve">Business behavior: For each exception in the sample dataset, the system reads the associated investigation notes and metadata and assigns one or more root cause categories from the defined taxonomy (Improper Packaging, Incorrect Scanning, Misrouting, Labeling Errors, Terminal Handling Issues, Documentation Gaps).</w:t>
      </w:r>
    </w:p>
    <w:p>
      <w:pPr>
        <w:spacing w:after="150"/>
      </w:pPr>
      <w:r>
        <w:rPr>
          <w:sz w:val="22"/>
          <w:szCs w:val="22"/>
        </w:rPr>
        <w:t xml:space="preserve">Inputs: Exception records, investigation notes, resolution data. Outputs: Exception-to-category assignment(s) with a confidence indicator. Key rules/logic: An exception may map to more than one category; low-confidence or ambiguous notes should be flagged for manual review rather than force-categorized. Dependencies: Availability of a representative, sufficiently detailed sample of historical investigation notes.</w:t>
      </w:r>
    </w:p>
    <w:p>
      <w:pPr>
        <w:pStyle w:val="Heading2"/>
        <w:spacing w:after="100" w:before="150"/>
      </w:pPr>
      <w:r>
        <w:t xml:space="preserve">8.2 Prevention Recommendation Generation</w:t>
      </w:r>
    </w:p>
    <w:p>
      <w:pPr>
        <w:spacing w:after="150"/>
      </w:pPr>
      <w:r>
        <w:rPr>
          <w:sz w:val="22"/>
          <w:szCs w:val="22"/>
        </w:rPr>
        <w:t xml:space="preserve">Business behavior: Based on patterns and clusters detected across classified exceptions (e.g., concentration of a category at a specific terminal), the system drafts actionable, human-readable prevention recommendations, such as introducing a mandatory double-scan at a given terminal, applying reinforced packaging for fragile freight, or reviewing routing logic for a specific hub.</w:t>
      </w:r>
    </w:p>
    <w:p>
      <w:pPr>
        <w:spacing w:after="150"/>
      </w:pPr>
      <w:r>
        <w:rPr>
          <w:sz w:val="22"/>
          <w:szCs w:val="22"/>
        </w:rPr>
        <w:t xml:space="preserve">Inputs: Classified exception data with category, terminal, and volume information. Outputs: A list of draft recommendations, each linked to the supporting root cause category and underlying exception evidence. Key rules/logic: Recommendations are advisory only in the POC and must be traceable back to the data pattern that generated them. User experience: Recommendations and their supporting evidence should be reviewable by an operations user before any action is taken. Dependencies: Output of the root cause categorization capability (8.1).</w:t>
      </w:r>
    </w:p>
    <w:p>
      <w:pPr>
        <w:spacing w:after="100"/>
      </w:pPr>
    </w:p>
    <w:p>
      <w:pPr>
        <w:pStyle w:val="Heading1"/>
        <w:spacing w:after="150" w:before="300"/>
      </w:pPr>
      <w:r>
        <w:t xml:space="preserve">9. Visualization Requirements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400"/>
        <w:gridCol w:w="6100"/>
      </w:tblGrid>
      <w:tr>
        <w:trPr>
          <w:tblHeader/>
        </w:trPr>
        <w:tc>
          <w:tcPr>
            <w:tcW w:type="dxa" w:w="3400"/>
            <w:shd w:fill="2E5395" w:color="auto" w:val="clear"/>
            <w:tcMar>
              <w:top w:type="dxa" w:w="100"/>
              <w:left w:type="dxa" w:w="100"/>
              <w:bottom w:type="dxa" w:w="100"/>
              <w:right w:type="dxa" w:w="100"/>
            </w:tcMar>
          </w:tcPr>
          <w:p>
            <w:r>
              <w:rPr>
                <w:b/>
                <w:bCs/>
                <w:color w:val="FFFFFF"/>
                <w:sz w:val="20"/>
                <w:szCs w:val="20"/>
              </w:rPr>
              <w:t xml:space="preserve">Visualization</w:t>
            </w:r>
          </w:p>
        </w:tc>
        <w:tc>
          <w:tcPr>
            <w:tcW w:type="dxa" w:w="6100"/>
            <w:shd w:fill="2E5395" w:color="auto" w:val="clear"/>
            <w:tcMar>
              <w:top w:type="dxa" w:w="100"/>
              <w:left w:type="dxa" w:w="100"/>
              <w:bottom w:type="dxa" w:w="100"/>
              <w:right w:type="dxa" w:w="100"/>
            </w:tcMar>
          </w:tcPr>
          <w:p>
            <w:r>
              <w:rPr>
                <w:b/>
                <w:bCs/>
                <w:color w:val="FFFFFF"/>
                <w:sz w:val="20"/>
                <w:szCs w:val="20"/>
              </w:rPr>
              <w:t xml:space="preserve">Purpose / Expected Behavior</w:t>
            </w:r>
          </w:p>
        </w:tc>
      </w:tr>
      <w:tr>
        <w:tc>
          <w:tcPr>
            <w:tcW w:type="dxa" w:w="3400"/>
            <w:tcMar>
              <w:top w:type="dxa" w:w="100"/>
              <w:left w:type="dxa" w:w="100"/>
              <w:bottom w:type="dxa" w:w="100"/>
              <w:right w:type="dxa" w:w="100"/>
            </w:tcMar>
          </w:tcPr>
          <w:p>
            <w:r>
              <w:rPr>
                <w:b w:val="false"/>
                <w:bCs w:val="false"/>
                <w:sz w:val="20"/>
                <w:szCs w:val="20"/>
              </w:rPr>
              <w:t xml:space="preserve">Root Cause Distribution Chart</w:t>
            </w:r>
          </w:p>
        </w:tc>
        <w:tc>
          <w:tcPr>
            <w:tcW w:type="dxa" w:w="6100"/>
            <w:tcMar>
              <w:top w:type="dxa" w:w="100"/>
              <w:left w:type="dxa" w:w="100"/>
              <w:bottom w:type="dxa" w:w="100"/>
              <w:right w:type="dxa" w:w="100"/>
            </w:tcMar>
          </w:tcPr>
          <w:p>
            <w:r>
              <w:rPr>
                <w:b w:val="false"/>
                <w:bCs w:val="false"/>
                <w:sz w:val="20"/>
                <w:szCs w:val="20"/>
              </w:rPr>
              <w:t xml:space="preserve">Shows the percentage of sample exceptions by root cause category (e.g., Improper Packaging, Missed Scan, Misrouting, Handling Damage, Documentation Errors), answering "where are our issues concentrated?"</w:t>
            </w:r>
          </w:p>
        </w:tc>
      </w:tr>
      <w:tr>
        <w:tc>
          <w:tcPr>
            <w:tcW w:type="dxa" w:w="3400"/>
            <w:tcMar>
              <w:top w:type="dxa" w:w="100"/>
              <w:left w:type="dxa" w:w="100"/>
              <w:bottom w:type="dxa" w:w="100"/>
              <w:right w:type="dxa" w:w="100"/>
            </w:tcMar>
          </w:tcPr>
          <w:p>
            <w:r>
              <w:rPr>
                <w:b w:val="false"/>
                <w:bCs w:val="false"/>
                <w:sz w:val="20"/>
                <w:szCs w:val="20"/>
              </w:rPr>
              <w:t xml:space="preserve">Root Cause Trend Over Time</w:t>
            </w:r>
          </w:p>
        </w:tc>
        <w:tc>
          <w:tcPr>
            <w:tcW w:type="dxa" w:w="6100"/>
            <w:tcMar>
              <w:top w:type="dxa" w:w="100"/>
              <w:left w:type="dxa" w:w="100"/>
              <w:bottom w:type="dxa" w:w="100"/>
              <w:right w:type="dxa" w:w="100"/>
            </w:tcMar>
          </w:tcPr>
          <w:p>
            <w:r>
              <w:rPr>
                <w:b w:val="false"/>
                <w:bCs w:val="false"/>
                <w:sz w:val="20"/>
                <w:szCs w:val="20"/>
              </w:rPr>
              <w:t xml:space="preserve">Tracks category volumes over the sample period to help identify emerging or worsening issues.</w:t>
            </w:r>
          </w:p>
        </w:tc>
      </w:tr>
      <w:tr>
        <w:tc>
          <w:tcPr>
            <w:tcW w:type="dxa" w:w="3400"/>
            <w:tcMar>
              <w:top w:type="dxa" w:w="100"/>
              <w:left w:type="dxa" w:w="100"/>
              <w:bottom w:type="dxa" w:w="100"/>
              <w:right w:type="dxa" w:w="100"/>
            </w:tcMar>
          </w:tcPr>
          <w:p>
            <w:r>
              <w:rPr>
                <w:b w:val="false"/>
                <w:bCs w:val="false"/>
                <w:sz w:val="20"/>
                <w:szCs w:val="20"/>
              </w:rPr>
              <w:t xml:space="preserve">Terminal / Region Breakdown</w:t>
            </w:r>
          </w:p>
        </w:tc>
        <w:tc>
          <w:tcPr>
            <w:tcW w:type="dxa" w:w="6100"/>
            <w:tcMar>
              <w:top w:type="dxa" w:w="100"/>
              <w:left w:type="dxa" w:w="100"/>
              <w:bottom w:type="dxa" w:w="100"/>
              <w:right w:type="dxa" w:w="100"/>
            </w:tcMar>
          </w:tcPr>
          <w:p>
            <w:r>
              <w:rPr>
                <w:b w:val="false"/>
                <w:bCs w:val="false"/>
                <w:sz w:val="20"/>
                <w:szCs w:val="20"/>
              </w:rPr>
              <w:t xml:space="preserve">Highlights terminals or regions with the highest concentration of a given root cause category; supports drill-down from category to terminal.</w:t>
            </w:r>
          </w:p>
        </w:tc>
      </w:tr>
      <w:tr>
        <w:tc>
          <w:tcPr>
            <w:tcW w:type="dxa" w:w="3400"/>
            <w:tcMar>
              <w:top w:type="dxa" w:w="100"/>
              <w:left w:type="dxa" w:w="100"/>
              <w:bottom w:type="dxa" w:w="100"/>
              <w:right w:type="dxa" w:w="100"/>
            </w:tcMar>
          </w:tcPr>
          <w:p>
            <w:r>
              <w:rPr>
                <w:b w:val="false"/>
                <w:bCs w:val="false"/>
                <w:sz w:val="20"/>
                <w:szCs w:val="20"/>
              </w:rPr>
              <w:t xml:space="preserve">Prevention Recommendation List</w:t>
            </w:r>
          </w:p>
        </w:tc>
        <w:tc>
          <w:tcPr>
            <w:tcW w:type="dxa" w:w="6100"/>
            <w:tcMar>
              <w:top w:type="dxa" w:w="100"/>
              <w:left w:type="dxa" w:w="100"/>
              <w:bottom w:type="dxa" w:w="100"/>
              <w:right w:type="dxa" w:w="100"/>
            </w:tcMar>
          </w:tcPr>
          <w:p>
            <w:r>
              <w:rPr>
                <w:b w:val="false"/>
                <w:bCs w:val="false"/>
                <w:sz w:val="20"/>
                <w:szCs w:val="20"/>
              </w:rPr>
              <w:t xml:space="preserve">Lists system-generated recommendations linked to their root cause category, with drill-down into the supporting exceptions/evidence.</w:t>
            </w:r>
          </w:p>
        </w:tc>
      </w:tr>
    </w:tbl>
    <w:p>
      <w:pPr>
        <w:spacing w:after="100"/>
      </w:pPr>
    </w:p>
    <w:p>
      <w:pPr>
        <w:pStyle w:val="Heading1"/>
        <w:spacing w:after="150" w:before="300"/>
      </w:pPr>
      <w:r>
        <w:t xml:space="preserve">10. Prioritization</w:t>
      </w:r>
    </w:p>
    <w:p>
      <w:pPr>
        <w:spacing w:after="150"/>
      </w:pPr>
      <w:r>
        <w:rPr>
          <w:sz w:val="22"/>
          <w:szCs w:val="22"/>
        </w:rPr>
        <w:t xml:space="preserve">The POC should prioritize root cause categories and terminals by exception volume (percentage of total exceptions attributable to a category or location) as the primary signal, since higher-volume patterns represent the greatest opportunity for prevention. Where available, secondary signals such as repeat occurrence at the same terminal/route and severity of the exception type (e.g., damage vs. documentation) should also influence which patterns are surfaced first for review and which recommendations are highlighted as higher priority.</w:t>
      </w:r>
    </w:p>
    <w:p>
      <w:pPr>
        <w:spacing w:after="100"/>
      </w:pPr>
    </w:p>
    <w:p>
      <w:pPr>
        <w:pStyle w:val="Heading1"/>
        <w:spacing w:after="150" w:before="300"/>
      </w:pPr>
      <w:r>
        <w:t xml:space="preserve">11. Configuration Requirements</w:t>
      </w:r>
    </w:p>
    <w:p>
      <w:pPr>
        <w:pStyle w:val="ListParagraph"/>
        <w:numPr>
          <w:ilvl w:val="0"/>
          <w:numId w:val="1"/>
        </w:numPr>
        <w:spacing w:after="60"/>
      </w:pPr>
      <w:r>
        <w:rPr>
          <w:sz w:val="22"/>
          <w:szCs w:val="22"/>
        </w:rPr>
        <w:t xml:space="preserve">Root cause taxonomy (category names and definitions) should be configurable rather than hard-coded.</w:t>
      </w:r>
    </w:p>
    <w:p>
      <w:pPr>
        <w:pStyle w:val="ListParagraph"/>
        <w:numPr>
          <w:ilvl w:val="0"/>
          <w:numId w:val="1"/>
        </w:numPr>
        <w:spacing w:after="60"/>
      </w:pPr>
      <w:r>
        <w:rPr>
          <w:sz w:val="22"/>
          <w:szCs w:val="22"/>
        </w:rPr>
        <w:t xml:space="preserve">Minimum confidence threshold for auto-assigning a root cause category (below which an exception is flagged for manual review).</w:t>
      </w:r>
    </w:p>
    <w:p>
      <w:pPr>
        <w:pStyle w:val="ListParagraph"/>
        <w:numPr>
          <w:ilvl w:val="0"/>
          <w:numId w:val="1"/>
        </w:numPr>
        <w:spacing w:after="60"/>
      </w:pPr>
      <w:r>
        <w:rPr>
          <w:sz w:val="22"/>
          <w:szCs w:val="22"/>
        </w:rPr>
        <w:t xml:space="preserve">Analysis time period / lookback window used to build the sample dataset and distribution reporting.</w:t>
      </w:r>
    </w:p>
    <w:p>
      <w:pPr>
        <w:pStyle w:val="ListParagraph"/>
        <w:numPr>
          <w:ilvl w:val="0"/>
          <w:numId w:val="1"/>
        </w:numPr>
        <w:spacing w:after="60"/>
      </w:pPr>
      <w:r>
        <w:rPr>
          <w:sz w:val="22"/>
          <w:szCs w:val="22"/>
        </w:rPr>
        <w:t xml:space="preserve">Display limits for dashboard views (e.g., top N terminals, top N recommendations shown).</w:t>
      </w:r>
    </w:p>
    <w:p>
      <w:pPr>
        <w:pStyle w:val="ListParagraph"/>
        <w:numPr>
          <w:ilvl w:val="0"/>
          <w:numId w:val="1"/>
        </w:numPr>
        <w:spacing w:after="60"/>
      </w:pPr>
      <w:r>
        <w:rPr>
          <w:sz w:val="22"/>
          <w:szCs w:val="22"/>
        </w:rPr>
        <w:t xml:space="preserve">Terminal/region groupings used for pattern and drill-down reporting.</w:t>
      </w:r>
    </w:p>
    <w:p>
      <w:pPr>
        <w:spacing w:after="100"/>
      </w:pPr>
    </w:p>
    <w:p>
      <w:pPr>
        <w:pStyle w:val="Heading1"/>
        <w:spacing w:after="150" w:before="300"/>
      </w:pPr>
      <w:r>
        <w:t xml:space="preserve">12. POC Technical Architecture -- Logical View</w:t>
      </w:r>
    </w:p>
    <w:p>
      <w:pPr>
        <w:spacing w:after="150"/>
      </w:pPr>
      <w:r>
        <w:rPr>
          <w:sz w:val="22"/>
          <w:szCs w:val="22"/>
        </w:rPr>
        <w:t xml:space="preserve">The logical flow moves from source exception data through preparation and AI-driven classification to a user-facing output, and operates asynchronously so it does not impact transactional workflows:</w:t>
      </w:r>
    </w:p>
    <w:p>
      <w:pPr>
        <w:pStyle w:val="ListParagraph"/>
        <w:numPr>
          <w:ilvl w:val="0"/>
          <w:numId w:val="1"/>
        </w:numPr>
        <w:spacing w:after="60"/>
      </w:pPr>
      <w:r>
        <w:rPr>
          <w:sz w:val="22"/>
          <w:szCs w:val="22"/>
        </w:rPr>
        <w:t xml:space="preserve">Exception Data Store — source of historical exception records and investigation notes.</w:t>
      </w:r>
    </w:p>
    <w:p>
      <w:pPr>
        <w:pStyle w:val="ListParagraph"/>
        <w:numPr>
          <w:ilvl w:val="0"/>
          <w:numId w:val="1"/>
        </w:numPr>
        <w:spacing w:after="60"/>
      </w:pPr>
      <w:r>
        <w:rPr>
          <w:sz w:val="22"/>
          <w:szCs w:val="22"/>
        </w:rPr>
        <w:t xml:space="preserve">Investigation Notes Analyzer — prepares and pre-processes free-text notes for classification.</w:t>
      </w:r>
    </w:p>
    <w:p>
      <w:pPr>
        <w:pStyle w:val="ListParagraph"/>
        <w:numPr>
          <w:ilvl w:val="0"/>
          <w:numId w:val="1"/>
        </w:numPr>
        <w:spacing w:after="60"/>
      </w:pPr>
      <w:r>
        <w:rPr>
          <w:sz w:val="22"/>
          <w:szCs w:val="22"/>
        </w:rPr>
        <w:t xml:space="preserve">Root Cause Classification Model — assigns root cause categories to each exception, powered by SAIA's Azure OpenAI environment.</w:t>
      </w:r>
    </w:p>
    <w:p>
      <w:pPr>
        <w:pStyle w:val="ListParagraph"/>
        <w:numPr>
          <w:ilvl w:val="0"/>
          <w:numId w:val="1"/>
        </w:numPr>
        <w:spacing w:after="60"/>
      </w:pPr>
      <w:r>
        <w:rPr>
          <w:sz w:val="22"/>
          <w:szCs w:val="22"/>
        </w:rPr>
        <w:t xml:space="preserve">Recommendation Engine — derives prevention recommendations from classified patterns, powered by SAIA's Azure OpenAI environment.</w:t>
      </w:r>
    </w:p>
    <w:p>
      <w:pPr>
        <w:pStyle w:val="ListParagraph"/>
        <w:numPr>
          <w:ilvl w:val="0"/>
          <w:numId w:val="1"/>
        </w:numPr>
        <w:spacing w:after="60"/>
      </w:pPr>
      <w:r>
        <w:rPr>
          <w:sz w:val="22"/>
          <w:szCs w:val="22"/>
        </w:rPr>
        <w:t xml:space="preserve">Operational Insight Dashboard — presents root cause distribution and recommendations to business users.</w:t>
      </w:r>
    </w:p>
    <w:p>
      <w:pPr>
        <w:spacing w:after="100"/>
      </w:pPr>
    </w:p>
    <w:p>
      <w:pPr>
        <w:pStyle w:val="Heading1"/>
        <w:spacing w:after="150" w:before="300"/>
      </w:pPr>
      <w:r>
        <w:t xml:space="preserve">13. AI Guardrails (if applicable)</w:t>
      </w:r>
    </w:p>
    <w:p>
      <w:pPr>
        <w:pStyle w:val="ListParagraph"/>
        <w:numPr>
          <w:ilvl w:val="0"/>
          <w:numId w:val="1"/>
        </w:numPr>
        <w:spacing w:after="60"/>
      </w:pPr>
      <w:r>
        <w:rPr>
          <w:sz w:val="22"/>
          <w:szCs w:val="22"/>
        </w:rPr>
        <w:t xml:space="preserve">Source of truth: Every root cause classification and recommendation must be traceable back to the underlying exception record and investigation notes that produced it.</w:t>
      </w:r>
    </w:p>
    <w:p>
      <w:pPr>
        <w:pStyle w:val="ListParagraph"/>
        <w:numPr>
          <w:ilvl w:val="0"/>
          <w:numId w:val="1"/>
        </w:numPr>
        <w:spacing w:after="60"/>
      </w:pPr>
      <w:r>
        <w:rPr>
          <w:sz w:val="22"/>
          <w:szCs w:val="22"/>
        </w:rPr>
        <w:t xml:space="preserve">Factual grounding: The model must base classifications and recommendations only on the provided exception/investigation data — no fabricated categories, terminals, or statistics.</w:t>
      </w:r>
    </w:p>
    <w:p>
      <w:pPr>
        <w:pStyle w:val="ListParagraph"/>
        <w:numPr>
          <w:ilvl w:val="0"/>
          <w:numId w:val="1"/>
        </w:numPr>
        <w:spacing w:after="60"/>
      </w:pPr>
      <w:r>
        <w:rPr>
          <w:sz w:val="22"/>
          <w:szCs w:val="22"/>
        </w:rPr>
        <w:t xml:space="preserve">Transparency: Classification confidence should be visible, and recommendations should clearly indicate they are AI-generated and advisory, not automated actions.</w:t>
      </w:r>
    </w:p>
    <w:p>
      <w:pPr>
        <w:pStyle w:val="ListParagraph"/>
        <w:numPr>
          <w:ilvl w:val="0"/>
          <w:numId w:val="1"/>
        </w:numPr>
        <w:spacing w:after="60"/>
      </w:pPr>
      <w:r>
        <w:rPr>
          <w:sz w:val="22"/>
          <w:szCs w:val="22"/>
        </w:rPr>
        <w:t xml:space="preserve">Handling of incomplete data: Exceptions with insufficient or ambiguous investigation notes should be flagged for manual review rather than force-classified.</w:t>
      </w:r>
    </w:p>
    <w:p>
      <w:pPr>
        <w:pStyle w:val="ListParagraph"/>
        <w:numPr>
          <w:ilvl w:val="0"/>
          <w:numId w:val="1"/>
        </w:numPr>
        <w:spacing w:after="60"/>
      </w:pPr>
      <w:r>
        <w:rPr>
          <w:sz w:val="22"/>
          <w:szCs w:val="22"/>
        </w:rPr>
        <w:t xml:space="preserve">Human in the loop: In this POC, all recommendations are advisory only; no automated workflow or corrective action is triggered directly by the model.</w:t>
      </w:r>
    </w:p>
    <w:p>
      <w:pPr>
        <w:pStyle w:val="ListParagraph"/>
        <w:numPr>
          <w:ilvl w:val="0"/>
          <w:numId w:val="1"/>
        </w:numPr>
        <w:spacing w:after="60"/>
      </w:pPr>
      <w:r>
        <w:rPr>
          <w:sz w:val="22"/>
          <w:szCs w:val="22"/>
        </w:rPr>
        <w:t xml:space="preserve">Access &amp; data governance: All exception data and model interactions remain within SAIA's existing Azure OpenAI environment, consistent with SAIA's established data security, access, and residency requirements.</w:t>
      </w:r>
    </w:p>
    <w:p>
      <w:pPr>
        <w:spacing w:after="100"/>
      </w:pPr>
    </w:p>
    <w:p>
      <w:pPr>
        <w:pStyle w:val="Heading1"/>
        <w:spacing w:after="150" w:before="300"/>
      </w:pPr>
      <w:r>
        <w:t xml:space="preserve">14. POC Success Definition</w:t>
      </w:r>
    </w:p>
    <w:p>
      <w:pPr>
        <w:spacing w:after="150"/>
      </w:pPr>
      <w:r>
        <w:rPr>
          <w:sz w:val="22"/>
          <w:szCs w:val="22"/>
        </w:rPr>
        <w:t xml:space="preserve">The POC will be considered successful if it demonstrates that a representative sample of historical exceptions can be automatically and consistently classified into the defined root cause taxonomy; that the resulting root cause distribution is plausible and recognizable to operations stakeholders; and that the generated prevention recommendations are judged by business reviewers to be relevant, actionable, and traceable to real patterns in the data. Success also includes producing a clear architecture recommendation, built on SAIA's Azure OpenAI environment, sufficient to support a go/no-go decision on Phase 2 investment.</w:t>
      </w:r>
    </w:p>
    <w:p>
      <w:pPr>
        <w:spacing w:after="100"/>
      </w:pPr>
    </w:p>
    <w:p>
      <w:pPr>
        <w:pStyle w:val="Heading1"/>
        <w:spacing w:after="150" w:before="300"/>
      </w:pPr>
      <w:r>
        <w:t xml:space="preserve">15. Recommended POC Demonstration Scenario</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400"/>
        <w:gridCol w:w="6100"/>
      </w:tblGrid>
      <w:tr>
        <w:trPr>
          <w:tblHeader/>
        </w:trPr>
        <w:tc>
          <w:tcPr>
            <w:tcW w:type="dxa" w:w="3400"/>
            <w:shd w:fill="2E5395" w:color="auto" w:val="clear"/>
            <w:tcMar>
              <w:top w:type="dxa" w:w="100"/>
              <w:left w:type="dxa" w:w="100"/>
              <w:bottom w:type="dxa" w:w="100"/>
              <w:right w:type="dxa" w:w="100"/>
            </w:tcMar>
          </w:tcPr>
          <w:p>
            <w:r>
              <w:rPr>
                <w:b/>
                <w:bCs/>
                <w:color w:val="FFFFFF"/>
                <w:sz w:val="20"/>
                <w:szCs w:val="20"/>
              </w:rPr>
              <w:t xml:space="preserve">Scenario</w:t>
            </w:r>
          </w:p>
        </w:tc>
        <w:tc>
          <w:tcPr>
            <w:tcW w:type="dxa" w:w="6100"/>
            <w:shd w:fill="2E5395" w:color="auto" w:val="clear"/>
            <w:tcMar>
              <w:top w:type="dxa" w:w="100"/>
              <w:left w:type="dxa" w:w="100"/>
              <w:bottom w:type="dxa" w:w="100"/>
              <w:right w:type="dxa" w:w="100"/>
            </w:tcMar>
          </w:tcPr>
          <w:p>
            <w:r>
              <w:rPr>
                <w:b/>
                <w:bCs/>
                <w:color w:val="FFFFFF"/>
                <w:sz w:val="20"/>
                <w:szCs w:val="20"/>
              </w:rPr>
              <w:t xml:space="preserve">What the POC Should Show</w:t>
            </w:r>
          </w:p>
        </w:tc>
      </w:tr>
      <w:tr>
        <w:tc>
          <w:tcPr>
            <w:tcW w:type="dxa" w:w="3400"/>
            <w:tcMar>
              <w:top w:type="dxa" w:w="100"/>
              <w:left w:type="dxa" w:w="100"/>
              <w:bottom w:type="dxa" w:w="100"/>
              <w:right w:type="dxa" w:w="100"/>
            </w:tcMar>
          </w:tcPr>
          <w:p>
            <w:r>
              <w:rPr>
                <w:b w:val="false"/>
                <w:bCs w:val="false"/>
                <w:sz w:val="20"/>
                <w:szCs w:val="20"/>
              </w:rPr>
              <w:t xml:space="preserve">Terminal with concentrated packaging damage</w:t>
            </w:r>
          </w:p>
        </w:tc>
        <w:tc>
          <w:tcPr>
            <w:tcW w:type="dxa" w:w="6100"/>
            <w:tcMar>
              <w:top w:type="dxa" w:w="100"/>
              <w:left w:type="dxa" w:w="100"/>
              <w:bottom w:type="dxa" w:w="100"/>
              <w:right w:type="dxa" w:w="100"/>
            </w:tcMar>
          </w:tcPr>
          <w:p>
            <w:r>
              <w:rPr>
                <w:b w:val="false"/>
                <w:bCs w:val="false"/>
                <w:sz w:val="20"/>
                <w:szCs w:val="20"/>
              </w:rPr>
              <w:t xml:space="preserve">System correctly attributes a cluster of damage exceptions to Improper Packaging and recommends reinforced packaging standards for fragile freight.</w:t>
            </w:r>
          </w:p>
        </w:tc>
      </w:tr>
      <w:tr>
        <w:tc>
          <w:tcPr>
            <w:tcW w:type="dxa" w:w="3400"/>
            <w:tcMar>
              <w:top w:type="dxa" w:w="100"/>
              <w:left w:type="dxa" w:w="100"/>
              <w:bottom w:type="dxa" w:w="100"/>
              <w:right w:type="dxa" w:w="100"/>
            </w:tcMar>
          </w:tcPr>
          <w:p>
            <w:r>
              <w:rPr>
                <w:b w:val="false"/>
                <w:bCs w:val="false"/>
                <w:sz w:val="20"/>
                <w:szCs w:val="20"/>
              </w:rPr>
              <w:t xml:space="preserve">Recurring missed-scan pattern at a terminal</w:t>
            </w:r>
          </w:p>
        </w:tc>
        <w:tc>
          <w:tcPr>
            <w:tcW w:type="dxa" w:w="6100"/>
            <w:tcMar>
              <w:top w:type="dxa" w:w="100"/>
              <w:left w:type="dxa" w:w="100"/>
              <w:bottom w:type="dxa" w:w="100"/>
              <w:right w:type="dxa" w:w="100"/>
            </w:tcMar>
          </w:tcPr>
          <w:p>
            <w:r>
              <w:rPr>
                <w:b w:val="false"/>
                <w:bCs w:val="false"/>
                <w:sz w:val="20"/>
                <w:szCs w:val="20"/>
              </w:rPr>
              <w:t xml:space="preserve">System detects a repeated missed-scan pattern at a specific terminal and recommends a mandatory double-scan checkpoint there.</w:t>
            </w:r>
          </w:p>
        </w:tc>
      </w:tr>
      <w:tr>
        <w:tc>
          <w:tcPr>
            <w:tcW w:type="dxa" w:w="3400"/>
            <w:tcMar>
              <w:top w:type="dxa" w:w="100"/>
              <w:left w:type="dxa" w:w="100"/>
              <w:bottom w:type="dxa" w:w="100"/>
              <w:right w:type="dxa" w:w="100"/>
            </w:tcMar>
          </w:tcPr>
          <w:p>
            <w:r>
              <w:rPr>
                <w:b w:val="false"/>
                <w:bCs w:val="false"/>
                <w:sz w:val="20"/>
                <w:szCs w:val="20"/>
              </w:rPr>
              <w:t xml:space="preserve">Misrouting cluster in a region/hub</w:t>
            </w:r>
          </w:p>
        </w:tc>
        <w:tc>
          <w:tcPr>
            <w:tcW w:type="dxa" w:w="6100"/>
            <w:tcMar>
              <w:top w:type="dxa" w:w="100"/>
              <w:left w:type="dxa" w:w="100"/>
              <w:bottom w:type="dxa" w:w="100"/>
              <w:right w:type="dxa" w:w="100"/>
            </w:tcMar>
          </w:tcPr>
          <w:p>
            <w:r>
              <w:rPr>
                <w:b w:val="false"/>
                <w:bCs w:val="false"/>
                <w:sz w:val="20"/>
                <w:szCs w:val="20"/>
              </w:rPr>
              <w:t xml:space="preserve">System identifies a group of misrouted shipments concentrated at a hub and recommends a review of routing logic for that region.</w:t>
            </w:r>
          </w:p>
        </w:tc>
      </w:tr>
      <w:tr>
        <w:tc>
          <w:tcPr>
            <w:tcW w:type="dxa" w:w="3400"/>
            <w:tcMar>
              <w:top w:type="dxa" w:w="100"/>
              <w:left w:type="dxa" w:w="100"/>
              <w:bottom w:type="dxa" w:w="100"/>
              <w:right w:type="dxa" w:w="100"/>
            </w:tcMar>
          </w:tcPr>
          <w:p>
            <w:r>
              <w:rPr>
                <w:b w:val="false"/>
                <w:bCs w:val="false"/>
                <w:sz w:val="20"/>
                <w:szCs w:val="20"/>
              </w:rPr>
              <w:t xml:space="preserve">Ambiguous or sparse investigation notes</w:t>
            </w:r>
          </w:p>
        </w:tc>
        <w:tc>
          <w:tcPr>
            <w:tcW w:type="dxa" w:w="6100"/>
            <w:tcMar>
              <w:top w:type="dxa" w:w="100"/>
              <w:left w:type="dxa" w:w="100"/>
              <w:bottom w:type="dxa" w:w="100"/>
              <w:right w:type="dxa" w:w="100"/>
            </w:tcMar>
          </w:tcPr>
          <w:p>
            <w:r>
              <w:rPr>
                <w:b w:val="false"/>
                <w:bCs w:val="false"/>
                <w:sz w:val="20"/>
                <w:szCs w:val="20"/>
              </w:rPr>
              <w:t xml:space="preserve">System recognizes low-confidence cases and flags them for manual review instead of misclassifying them, demonstrating guardrail behavior.</w:t>
            </w:r>
          </w:p>
        </w:tc>
      </w:tr>
      <w:tr>
        <w:tc>
          <w:tcPr>
            <w:tcW w:type="dxa" w:w="3400"/>
            <w:tcMar>
              <w:top w:type="dxa" w:w="100"/>
              <w:left w:type="dxa" w:w="100"/>
              <w:bottom w:type="dxa" w:w="100"/>
              <w:right w:type="dxa" w:w="100"/>
            </w:tcMar>
          </w:tcPr>
          <w:p>
            <w:r>
              <w:rPr>
                <w:b w:val="false"/>
                <w:bCs w:val="false"/>
                <w:sz w:val="20"/>
                <w:szCs w:val="20"/>
              </w:rPr>
              <w:t xml:space="preserve">Overall root cause distribution review</w:t>
            </w:r>
          </w:p>
        </w:tc>
        <w:tc>
          <w:tcPr>
            <w:tcW w:type="dxa" w:w="6100"/>
            <w:tcMar>
              <w:top w:type="dxa" w:w="100"/>
              <w:left w:type="dxa" w:w="100"/>
              <w:bottom w:type="dxa" w:w="100"/>
              <w:right w:type="dxa" w:w="100"/>
            </w:tcMar>
          </w:tcPr>
          <w:p>
            <w:r>
              <w:rPr>
                <w:b w:val="false"/>
                <w:bCs w:val="false"/>
                <w:sz w:val="20"/>
                <w:szCs w:val="20"/>
              </w:rPr>
              <w:t xml:space="preserve">Dashboard shows the full sample's root cause breakdown (e.g., Improper Packaging, Missed Scan, Misrouting, Handling Damage, Documentation Errors) with drill-down to supporting exceptions.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2026-09-21T14:09:29.563Z</dcterms:created>
  <dcterms:modified xsi:type="dcterms:W3CDTF">2026-09-21T14:09:29.571Z</dcterms:modified>
</cp:coreProperties>
</file>

<file path=docProps/custom.xml><?xml version="1.0" encoding="utf-8"?>
<Properties xmlns="http://schemas.openxmlformats.org/officeDocument/2006/custom-properties" xmlns:vt="http://schemas.openxmlformats.org/officeDocument/2006/docPropsVTypes"/>
</file>