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NCS Telco+ — IT Security Incident Response Plan</w:t>
      </w:r>
    </w:p>
    <w:p>
      <w:r>
        <w:t>Document ID: NCS-IT-IRP-02 | Version: 3.0 | Effective Date: 15 March 2026</w:t>
      </w:r>
    </w:p>
    <w:p>
      <w:r>
        <w:t>Fictional sample document prepared for the Suraksha training lab. Not a real company plan.</w:t>
      </w:r>
    </w:p>
    <w:p>
      <w:pPr>
        <w:pStyle w:val="Heading2"/>
      </w:pPr>
      <w:r>
        <w:t>1. Purpose</w:t>
      </w:r>
    </w:p>
    <w:p>
      <w:r>
        <w:t>This plan defines how NCS Telco+ detects, classifies, contains, and closes security incidents. It applies to the IT Security team, the Network Operations Centre, and all business units that handle company or customer data.</w:t>
      </w:r>
    </w:p>
    <w:p>
      <w:pPr>
        <w:pStyle w:val="Heading2"/>
      </w:pPr>
      <w:r>
        <w:t>2. Severity Classification</w:t>
      </w:r>
    </w:p>
    <w:p>
      <w:r>
        <w:t>SEV1 — Critical: a confirmed personal-data breach, ransomware with encryption observed, or compromise of a critical system. SEV2 — High: unauthorised access to a non-critical system or a privileged account. SEV3 — Medium: contained malware, or a policy violation that needs investigation. SEV4 — Low: attempted but unsuccessful attacks and routine security events.</w:t>
      </w:r>
    </w:p>
    <w:p>
      <w:pPr>
        <w:pStyle w:val="Heading2"/>
      </w:pPr>
      <w:r>
        <w:t>3. Breach Notification Timeline</w:t>
      </w:r>
    </w:p>
    <w:p>
      <w:r>
        <w:t>Once an incident is confirmed as a personal data breach, affected parties — including customers and employees whose data is involved — must be notified within seventy-two (72) hours of confirmation. Where required by law, the regulator is notified within the same 72-hour window. Notification content is approved by the CISO and Legal before it is sent.</w:t>
      </w:r>
    </w:p>
    <w:p>
      <w:pPr>
        <w:pStyle w:val="Heading2"/>
      </w:pPr>
      <w:r>
        <w:t>4. Incident Command</w:t>
      </w:r>
    </w:p>
    <w:p>
      <w:r>
        <w:t>Every SEV1 and SEV2 incident is run by an Incident Commander. Only the CISO, or a CISO-appointed delegate, has the authority to declare a SEV1 or SEV2 incident officially closed, and only after the root-cause review has been signed off. SEV3 and SEV4 incidents are closed by the Incident Commander.</w:t>
      </w:r>
    </w:p>
    <w:p>
      <w:pPr>
        <w:pStyle w:val="Heading2"/>
      </w:pPr>
      <w:r>
        <w:t>5. Evidence Handling</w:t>
      </w:r>
    </w:p>
    <w:p>
      <w:r>
        <w:t>Relevant logs and forensic images are preserved for at least 12 months. Each handover of evidence is recorded with a chain-of-custody form.</w:t>
      </w:r>
    </w:p>
    <w:p>
      <w:pPr>
        <w:pStyle w:val="Heading2"/>
      </w:pPr>
      <w:r>
        <w:t>6. Post-Incident Review</w:t>
      </w:r>
    </w:p>
    <w:p>
      <w:r>
        <w:t>A post-incident review is held within 10 business days of closure. Action items are tracked to completion, and lessons learned are shared with all IT Security staff.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