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Sample Document</w:t>
      </w:r>
    </w:p>
    <w:p>
      <w:pPr>
        <w:jc w:val="center"/>
      </w:pPr>
      <w:r>
        <w:rPr>
          <w:sz w:val="32"/>
        </w:rPr>
        <w:t>Complex Formatting &amp; Layout Testing</w:t>
      </w:r>
    </w:p>
    <w:p/>
    <w:p>
      <w:pPr>
        <w:pStyle w:val="Heading1"/>
      </w:pPr>
      <w:r>
        <w:t>Abstract</w:t>
      </w:r>
    </w:p>
    <w:p>
      <w:r>
        <w:t>This document tests extraction of complex DOCX features including tables with merged cells, nested tables, embedded images, multiple font styles, nested lists, headers/footers, and mixed formatting.</w:t>
      </w:r>
    </w:p>
    <w:p>
      <w:pPr>
        <w:pStyle w:val="Heading1"/>
      </w:pPr>
      <w:r>
        <w:t>Introduction</w:t>
      </w:r>
    </w:p>
    <w:p>
      <w:r>
        <w:t>Document extraction is a challenging task. Complex layouts, varied formatting, and embedded elements require careful handling.</w:t>
      </w:r>
    </w:p>
    <w:p>
      <w:pPr>
        <w:pStyle w:val="Heading1"/>
      </w:pPr>
      <w:r>
        <w:t>Tables and Structure</w:t>
      </w:r>
    </w:p>
    <w:p>
      <w:r>
        <w:t>Tables can have merged cells, alternating row colors, and nested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90E2"/>
          </w:tcPr>
          <w:p>
            <w:r>
              <w:rPr>
                <w:b/>
                <w:color w:val="FFFFFF"/>
              </w:rPr>
              <w:t>Column 1</w:t>
            </w:r>
          </w:p>
        </w:tc>
        <w:tc>
          <w:tcPr>
            <w:tcW w:type="dxa" w:w="2160"/>
            <w:shd w:fill="4A90E2"/>
          </w:tcPr>
          <w:p>
            <w:r>
              <w:rPr>
                <w:b/>
                <w:color w:val="FFFFFF"/>
              </w:rPr>
              <w:t>Column 2</w:t>
            </w:r>
          </w:p>
        </w:tc>
        <w:tc>
          <w:tcPr>
            <w:tcW w:type="dxa" w:w="2160"/>
            <w:shd w:fill="4A90E2"/>
          </w:tcPr>
          <w:p>
            <w:r>
              <w:rPr>
                <w:b/>
                <w:color w:val="FFFFFF"/>
              </w:rPr>
              <w:t>Column 3</w:t>
            </w:r>
          </w:p>
        </w:tc>
        <w:tc>
          <w:tcPr>
            <w:tcW w:type="dxa" w:w="2160"/>
            <w:shd w:fill="4A90E2"/>
          </w:tcPr>
          <w:p>
            <w:r>
              <w:rPr>
                <w:b/>
                <w:color w:val="FFFFFF"/>
              </w:rPr>
              <w:t>Column 4</w:t>
            </w:r>
          </w:p>
        </w:tc>
      </w:tr>
      <w:tr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  <w:tc>
          <w:tcPr>
            <w:tcW w:type="dxa" w:w="2160"/>
          </w:tcPr>
          <w:p>
            <w:r>
              <w:t>R1C4</w:t>
            </w:r>
          </w:p>
        </w:tc>
      </w:tr>
      <w:tr>
        <w:tc>
          <w:tcPr>
            <w:tcW w:type="dxa" w:w="2160"/>
            <w:shd w:fill="F0F0F0"/>
          </w:tcPr>
          <w:p>
            <w:r>
              <w:t>R2C1</w:t>
            </w:r>
          </w:p>
        </w:tc>
        <w:tc>
          <w:tcPr>
            <w:tcW w:type="dxa" w:w="2160"/>
            <w:shd w:fill="F0F0F0"/>
          </w:tcPr>
          <w:p>
            <w:r>
              <w:t>R2C2</w:t>
            </w:r>
          </w:p>
        </w:tc>
        <w:tc>
          <w:tcPr>
            <w:tcW w:type="dxa" w:w="2160"/>
            <w:shd w:fill="F0F0F0"/>
          </w:tcPr>
          <w:p>
            <w:r>
              <w:t>R2C3</w:t>
            </w:r>
          </w:p>
        </w:tc>
        <w:tc>
          <w:tcPr>
            <w:tcW w:type="dxa" w:w="2160"/>
            <w:shd w:fill="F0F0F0"/>
          </w:tcPr>
          <w:p>
            <w:r>
              <w:t>R2C4</w:t>
            </w:r>
          </w:p>
        </w:tc>
      </w:tr>
      <w:tr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  <w:tc>
          <w:tcPr>
            <w:tcW w:type="dxa" w:w="2160"/>
          </w:tcPr>
          <w:p>
            <w:r>
              <w:t>R3C4</w:t>
            </w:r>
          </w:p>
        </w:tc>
      </w:tr>
      <w:tr>
        <w:tc>
          <w:tcPr>
            <w:tcW w:type="dxa" w:w="2160"/>
            <w:shd w:fill="F0F0F0"/>
          </w:tcPr>
          <w:p>
            <w:r>
              <w:t>R4C1</w:t>
            </w:r>
          </w:p>
        </w:tc>
        <w:tc>
          <w:tcPr>
            <w:tcW w:type="dxa" w:w="2160"/>
            <w:shd w:fill="F0F0F0"/>
          </w:tcPr>
          <w:p>
            <w:r>
              <w:t>R4C2</w:t>
            </w:r>
          </w:p>
        </w:tc>
        <w:tc>
          <w:tcPr>
            <w:tcW w:type="dxa" w:w="2160"/>
            <w:shd w:fill="F0F0F0"/>
          </w:tcPr>
          <w:p>
            <w:r>
              <w:t>R4C3</w:t>
            </w:r>
          </w:p>
        </w:tc>
        <w:tc>
          <w:tcPr>
            <w:tcW w:type="dxa" w:w="2160"/>
            <w:shd w:fill="F0F0F0"/>
          </w:tcPr>
          <w:p>
            <w:r>
              <w:t>R4C4</w:t>
            </w:r>
          </w:p>
        </w:tc>
      </w:tr>
      <w:tr>
        <w:tc>
          <w:tcPr>
            <w:tcW w:type="dxa" w:w="2160"/>
          </w:tcPr>
          <w:p>
            <w:r>
              <w:t>R5C1</w:t>
            </w:r>
          </w:p>
        </w:tc>
        <w:tc>
          <w:tcPr>
            <w:tcW w:type="dxa" w:w="2160"/>
          </w:tcPr>
          <w:p>
            <w:r>
              <w:t>R5C2</w:t>
            </w:r>
          </w:p>
        </w:tc>
        <w:tc>
          <w:tcPr>
            <w:tcW w:type="dxa" w:w="2160"/>
          </w:tcPr>
          <w:p>
            <w:r>
              <w:t>R5C3</w:t>
            </w:r>
          </w:p>
        </w:tc>
        <w:tc>
          <w:tcPr>
            <w:tcW w:type="dxa" w:w="2160"/>
          </w:tcPr>
          <w:p>
            <w:r>
              <w:t>R5C4</w:t>
            </w:r>
          </w:p>
        </w:tc>
      </w:tr>
    </w:tbl>
    <w:p>
      <w:pPr>
        <w:pStyle w:val="Heading2"/>
      </w:pPr>
      <w:r>
        <w:t>Nested tables demonstrate hierarchical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1: Parent</w:t>
            </w:r>
          </w:p>
        </w:tc>
        <w:tc>
          <w:tcPr>
            <w:tcW w:type="dxa" w:w="4320"/>
          </w:tcPr>
          <w:p/>
          <w:tbl>
            <w:tblPr>
              <w:tblStyle w:val="Light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N1C1</w:t>
                  </w:r>
                </w:p>
              </w:tc>
              <w:tc>
                <w:tcPr>
                  <w:tcW w:type="dxa" w:w="2160"/>
                </w:tcPr>
                <w:p>
                  <w:r>
                    <w:t>N1C2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N2C1</w:t>
                  </w:r>
                </w:p>
              </w:tc>
              <w:tc>
                <w:tcPr>
                  <w:tcW w:type="dxa" w:w="2160"/>
                </w:tcPr>
                <w:p>
                  <w:r>
                    <w:t>N2C2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Cell 3</w:t>
            </w:r>
          </w:p>
        </w:tc>
        <w:tc>
          <w:tcPr>
            <w:tcW w:type="dxa" w:w="4320"/>
          </w:tcPr>
          <w:p>
            <w:r>
              <w:t>Cell 4</w:t>
            </w:r>
          </w:p>
        </w:tc>
      </w:tr>
    </w:tbl>
    <w:p>
      <w:pPr>
        <w:pStyle w:val="Heading1"/>
      </w:pPr>
      <w:r>
        <w:t>Embedded Images</w:t>
      </w:r>
    </w:p>
    <w:p>
      <w:r>
        <w:t>Three inline images with captions: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Red image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Green image</w:t>
      </w:r>
    </w:p>
    <w:p>
      <w:r>
        <w:drawing>
          <wp:inline xmlns:a="http://schemas.openxmlformats.org/drawingml/2006/main" xmlns:pic="http://schemas.openxmlformats.org/drawingml/2006/picture">
            <wp:extent cx="1371600" cy="102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Blue image</w:t>
      </w:r>
    </w:p>
    <w:p>
      <w:pPr>
        <w:pStyle w:val="Heading1"/>
      </w:pPr>
      <w:r>
        <w:t>Mixed Formatting</w:t>
      </w:r>
    </w:p>
    <w:p>
      <w:r>
        <w:rPr>
          <w:b/>
        </w:rPr>
        <w:t>Bold text</w:t>
      </w:r>
      <w:r>
        <w:t xml:space="preserve"> | </w:t>
      </w:r>
      <w:r>
        <w:rPr>
          <w:i/>
        </w:rPr>
        <w:t>Italic text</w:t>
      </w:r>
      <w:r>
        <w:t xml:space="preserve"> | </w:t>
      </w:r>
      <w:r>
        <w:rPr>
          <w:color w:val="FF0000"/>
        </w:rPr>
        <w:t>Colored text (red)</w:t>
      </w:r>
      <w:r>
        <w:t xml:space="preserve"> | </w:t>
      </w:r>
      <w:r>
        <w:rPr>
          <w:sz w:val="24"/>
        </w:rPr>
        <w:t>Different size (12pt)</w:t>
      </w:r>
    </w:p>
    <w:p>
      <w:r>
        <w:t>Strikethrough text</w:t>
      </w:r>
    </w:p>
    <w:p>
      <w:pPr>
        <w:pStyle w:val="Heading1"/>
      </w:pPr>
      <w:r>
        <w:t>Nested Lists</w:t>
      </w:r>
    </w:p>
    <w:p>
      <w:pPr>
        <w:pStyle w:val="ListBullet"/>
        <w:ind w:left="0"/>
      </w:pPr>
      <w:r>
        <w:t>Level 0 Item 1</w:t>
      </w:r>
    </w:p>
    <w:p>
      <w:pPr>
        <w:pStyle w:val="ListBullet"/>
        <w:ind w:left="360"/>
      </w:pPr>
      <w:r>
        <w:t>Level 1 Item 1.1</w:t>
      </w:r>
    </w:p>
    <w:p>
      <w:pPr>
        <w:pStyle w:val="ListBullet"/>
        <w:ind w:left="720"/>
      </w:pPr>
      <w:r>
        <w:t>Level 2 Item 1.1.1</w:t>
      </w:r>
    </w:p>
    <w:p>
      <w:pPr>
        <w:pStyle w:val="ListBullet"/>
        <w:ind w:left="720"/>
      </w:pPr>
      <w:r>
        <w:t>Level 2 Item 1.1.2</w:t>
      </w:r>
    </w:p>
    <w:p>
      <w:pPr>
        <w:pStyle w:val="ListBullet"/>
        <w:ind w:left="360"/>
      </w:pPr>
      <w:r>
        <w:t>Level 1 Item 1.2</w:t>
      </w:r>
    </w:p>
    <w:p>
      <w:pPr>
        <w:pStyle w:val="ListBullet"/>
        <w:ind w:left="0"/>
      </w:pPr>
      <w:r>
        <w:t>Level 0 Item 2</w:t>
      </w:r>
    </w:p>
    <w:p>
      <w:pPr>
        <w:pStyle w:val="ListBullet"/>
        <w:ind w:left="360"/>
      </w:pPr>
      <w:r>
        <w:t>Level 1 Item 2.1</w:t>
      </w:r>
    </w:p>
    <w:p>
      <w:pPr>
        <w:pStyle w:val="ListBullet"/>
        <w:ind w:left="720"/>
      </w:pPr>
      <w:r>
        <w:t>Level 2 Item 2.1.1</w:t>
      </w:r>
    </w:p>
    <w:p>
      <w:pPr>
        <w:pStyle w:val="Heading2"/>
      </w:pPr>
      <w:r>
        <w:t>Numbered list: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pPr>
        <w:pStyle w:val="Heading1"/>
      </w:pPr>
      <w:r>
        <w:t>Footnotes and References</w:t>
      </w:r>
    </w:p>
    <w:p>
      <w:r>
        <w:t>This document contains important information</w:t>
      </w:r>
      <w:r>
        <w:rPr>
          <w:vertAlign w:val="superscript"/>
        </w:rPr>
        <w:t>[1]</w:t>
      </w:r>
      <w:r>
        <w:t xml:space="preserve"> that requires careful extraction.</w:t>
      </w:r>
    </w:p>
    <w:p>
      <w:r>
        <w:t>Additional details are provided</w:t>
      </w:r>
      <w:r>
        <w:rPr>
          <w:vertAlign w:val="superscript"/>
        </w:rPr>
        <w:t>[2]</w:t>
      </w:r>
      <w:r>
        <w:t xml:space="preserve"> in the appendix.</w:t>
      </w:r>
    </w:p>
    <w:p/>
    <w:p>
      <w:pPr/>
      <w:r>
        <w:t>[1] This is the first footnote content.</w:t>
      </w:r>
    </w:p>
    <w:p>
      <w:pPr/>
      <w:r>
        <w:t>[2] This is the second footnote content.</w:t>
      </w:r>
    </w:p>
    <w:p>
      <w:pPr>
        <w:pStyle w:val="Heading1"/>
      </w:pPr>
      <w:r>
        <w:t>References</w:t>
      </w:r>
    </w:p>
    <w:p>
      <w:pPr/>
      <w:r>
        <w:t>Smith, J. (2025). Document Parsing. Journal of AI.</w:t>
      </w:r>
    </w:p>
    <w:p>
      <w:pPr/>
      <w:r>
        <w:t>Johnson, A. (2024). Complex Formats. Tech Press.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b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i/>
        <w:sz w:val="20"/>
      </w:rPr>
      <w:t>CONFIDENTIAL — Sample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