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7F8C8D"/>
          <w:sz w:val="17"/>
        </w:rPr>
        <w:t>EXECUTIVE STRATEGIC BRIEFING | OFFICE OF THE CEMENT PLANT PERFORMANCE ANALYST</w:t>
      </w:r>
    </w:p>
    <w:p>
      <w:pPr>
        <w:spacing w:before="80" w:after="120"/>
      </w:pPr>
      <w:r>
        <w:rPr>
          <w:rFonts w:ascii="Arial" w:hAnsi="Arial"/>
          <w:b/>
          <w:color w:val="1B365D"/>
          <w:sz w:val="40"/>
        </w:rPr>
        <w:t>PLANT PERFORMANCE &amp; OPERATIONAL EFFICIENCY ASSESSMENT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65D"/>
                <w:sz w:val="18"/>
              </w:rPr>
              <w:t>TO:</w:t>
            </w:r>
            <w:r>
              <w:rPr>
                <w:rFonts w:ascii="Arial" w:hAnsi="Arial"/>
                <w:color w:val="2C3E50"/>
                <w:sz w:val="18"/>
              </w:rPr>
              <w:t xml:space="preserve"> Chief Executive Officer, XYZ Cement Manufacturing Ltd.</w:t>
            </w:r>
          </w:p>
        </w:tc>
        <w:tc>
          <w:tcPr>
            <w:tcW w:type="dxa" w:w="46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65D"/>
                <w:sz w:val="18"/>
              </w:rPr>
              <w:t>DATE:</w:t>
            </w:r>
            <w:r>
              <w:rPr>
                <w:rFonts w:ascii="Arial" w:hAnsi="Arial"/>
                <w:color w:val="2C3E50"/>
                <w:sz w:val="18"/>
              </w:rPr>
              <w:t xml:space="preserve"> August 11, 2026</w:t>
            </w:r>
          </w:p>
        </w:tc>
      </w:tr>
      <w:tr>
        <w:tc>
          <w:tcPr>
            <w:tcW w:type="dxa" w:w="46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65D"/>
                <w:sz w:val="18"/>
              </w:rPr>
              <w:t>FROM:</w:t>
            </w:r>
            <w:r>
              <w:rPr>
                <w:rFonts w:ascii="Arial" w:hAnsi="Arial"/>
                <w:color w:val="2C3E50"/>
                <w:sz w:val="18"/>
              </w:rPr>
              <w:t xml:space="preserve"> Lead Cement Plant Performance Analyst</w:t>
            </w:r>
          </w:p>
        </w:tc>
        <w:tc>
          <w:tcPr>
            <w:tcW w:type="dxa" w:w="46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65D"/>
                <w:sz w:val="18"/>
              </w:rPr>
              <w:t>SUBJECT:</w:t>
            </w:r>
            <w:r>
              <w:rPr>
                <w:rFonts w:ascii="Arial" w:hAnsi="Arial"/>
                <w:color w:val="2C3E50"/>
                <w:sz w:val="18"/>
              </w:rPr>
              <w:t xml:space="preserve"> Comprehensive Multi-Plant Evaluation &amp; Turnaround Plan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B365D"/>
                <w:sz w:val="20"/>
              </w:rPr>
              <w:t xml:space="preserve">EXECUTIVE BRIEFING TO THE CEO: </w:t>
            </w:r>
            <w:r>
              <w:rPr>
                <w:rFonts w:ascii="Arial" w:hAnsi="Arial"/>
                <w:color w:val="2C3E50"/>
                <w:sz w:val="19"/>
              </w:rPr>
              <w:t>This analytical report evaluates operational performance across XYZ Cement Manufacturing Ltd.'s five production facilities (Baddi, Chandrapur, Gulbarga, Durgapur, and Satna). A rigorous data-driven assessment reveals critical performance variances: South Plant (Gulbarga) demands immediate turnaround intervention due to severe capacity underutilization and quality rejections; North Plant (Baddi) suffers extreme batch instability (CV = 42.8%); and East Plant (Durgapur) demonstrates the lowest average yield and highest product rejection rate (4.8%). Implementing targeted operational restructuring across all units can unlock an estimated total production improvement of +2,350 Tons (+18.2%) across current operational cycles.</w:t>
            </w:r>
          </w:p>
        </w:tc>
      </w:tr>
    </w:tbl>
    <w:p>
      <w:pPr>
        <w:keepNext/>
        <w:spacing w:before="28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28"/>
        </w:rPr>
        <w:t>1. Executive Strategic Assessment &amp; Core Mandates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As Cement Plant Performance Analyst, a comprehensive diagnostic of dispatch logs, production variability, and operational KPIs was conducted across all manufacturing units. XYZ Cement Manufacturing Ltd. operates in a high-demand infrastructure environment supplying mega-projects across India. However, structural inefficiencies and production disparities between facilities are eroding corporate gross margins and causing regional supply chain bottlenecks.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To ensure optimal asset utilization and market competitiveness, this analysis directly addresses five strategic CEO priorities: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1. Priority for Immediate Improvement: </w:t>
      </w:r>
      <w:r>
        <w:rPr>
          <w:rFonts w:ascii="Arial" w:hAnsi="Arial"/>
          <w:color w:val="333333"/>
          <w:sz w:val="20"/>
        </w:rPr>
        <w:t xml:space="preserve"> Identifies South Plant (Gulbarga) as requiring immediate capital, operational, and management intervention to prevent further market share loss in Southern infrastructure corridors.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2. Most Inefficient Overall: </w:t>
      </w:r>
      <w:r>
        <w:rPr>
          <w:rFonts w:ascii="Arial" w:hAnsi="Arial"/>
          <w:color w:val="333333"/>
          <w:sz w:val="20"/>
        </w:rPr>
        <w:t xml:space="preserve"> Pinpoints South Plant (Gulbarga) as the lowest performing asset, producing only 1,870 MT (14.5% total output) despite possessing equal installed capacity.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3. Inconsistent Production Output: </w:t>
      </w:r>
      <w:r>
        <w:rPr>
          <w:rFonts w:ascii="Arial" w:hAnsi="Arial"/>
          <w:color w:val="333333"/>
          <w:sz w:val="20"/>
        </w:rPr>
        <w:t xml:space="preserve"> Highlights North Plant (Baddi) exhibiting a Coefficient of Variation (CV) of 42.8% in batch sizes (ranging from 190 MT to 630 MT), indicating severe thermal/mechanical instability.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4. Estimated Production Improvement: </w:t>
      </w:r>
      <w:r>
        <w:rPr>
          <w:rFonts w:ascii="Arial" w:hAnsi="Arial"/>
          <w:color w:val="333333"/>
          <w:sz w:val="20"/>
        </w:rPr>
        <w:t xml:space="preserve"> Outlines an actionable engineering roadmap to increase total organizational output from 12,870.5 MT to 15,220 MT (+18.2% uplift).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5. Highest Product Rejection Rate: </w:t>
      </w:r>
      <w:r>
        <w:rPr>
          <w:rFonts w:ascii="Arial" w:hAnsi="Arial"/>
          <w:color w:val="333333"/>
          <w:sz w:val="20"/>
        </w:rPr>
        <w:t xml:space="preserve"> Flags East Plant (Durgapur) with a critical 4.8% rejection rate caused by slag quality degradation and clinker grinding inconsistencies.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28"/>
        </w:rPr>
        <w:t>2. Comprehensive Plant Performance Summary Table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The matrix below consolidates primary dispatch metrics, operational stability indicators, quality rejection rates, and potential yield gains across all five manufacturing facilities based on recent operational audit cycles: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Plant Location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Total Dispatched (MT)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Avg Batch Size (MT)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Std Dev (MT)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Coeff of Var (%)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Rejection Rate (%)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Est. Improvement (MT)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Strategic Status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C3E50"/>
                <w:sz w:val="17"/>
              </w:rPr>
              <w:t>North Plant (Baddi)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2,050.0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410.0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175.6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42.8%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3.2%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+550 MT (+26.8%)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C3E50"/>
                <w:sz w:val="17"/>
              </w:rPr>
              <w:t>High Instability</w:t>
            </w:r>
          </w:p>
        </w:tc>
      </w:tr>
      <w:tr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C3E50"/>
                <w:sz w:val="17"/>
              </w:rPr>
              <w:t>West Plant (Chandrapur)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3,340.5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668.1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166.2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24.9%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1.8%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+360 MT (+10.8%)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C3E50"/>
                <w:sz w:val="17"/>
              </w:rPr>
              <w:t>High Output / Stable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C3E50"/>
                <w:sz w:val="17"/>
              </w:rPr>
              <w:t>South Plant (Gulbarga)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1,870.0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374.0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99.4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26.6%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4.1%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+650 MT (+34.8%)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C3E50"/>
                <w:sz w:val="17"/>
              </w:rPr>
              <w:t>Priority Improvement</w:t>
            </w:r>
          </w:p>
        </w:tc>
      </w:tr>
      <w:tr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C3E50"/>
                <w:sz w:val="17"/>
              </w:rPr>
              <w:t>East Plant (Durgapur)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2,070.0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414.0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137.9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33.3%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4.8%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+500 MT (+24.2%)</w:t>
            </w:r>
          </w:p>
        </w:tc>
        <w:tc>
          <w:tcPr>
            <w:tcW w:type="dxa" w:w="1170"/>
            <w:shd w:fill="F8F9F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C3E50"/>
                <w:sz w:val="17"/>
              </w:rPr>
              <w:t>Highest Rejection Rate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C3E50"/>
                <w:sz w:val="17"/>
              </w:rPr>
              <w:t>Central Plant (Satna)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3,510.0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702.0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161.9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23.1%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1.4%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C3E50"/>
                <w:sz w:val="17"/>
              </w:rPr>
              <w:t>+290 MT (+8.3%)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C3E50"/>
                <w:sz w:val="17"/>
              </w:rPr>
              <w:t>Benchmark Facility</w:t>
            </w:r>
          </w:p>
        </w:tc>
      </w:tr>
    </w:tbl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28"/>
        </w:rPr>
        <w:t>3. Deep-Dive Analytical Findings per Core Strategic Mandate</w:t>
      </w:r>
    </w:p>
    <w:p>
      <w:pPr>
        <w:keepNext/>
        <w:spacing w:before="200" w:after="80"/>
      </w:pPr>
      <w:r>
        <w:rPr>
          <w:rFonts w:ascii="Arial" w:hAnsi="Arial"/>
          <w:b/>
          <w:color w:val="2C3E50"/>
          <w:sz w:val="23"/>
        </w:rPr>
        <w:t>3.1 Priority Plant for Immediate Improvement &amp; Overall Inefficiency: South Plant (Gulbarga)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The South Plant in Gulbarga represents the company's most underperforming operational asset, generating only 1,870 MT across 5 primary dispatch cycles (averaging 374 MT per batch). This accounts for a meager 14.5% of total company output, despite operating in high-demand markets like the Hyderabad IT Corridor and Bengaluru Urban.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</w:t>
      </w:r>
      <w:r>
        <w:rPr>
          <w:rFonts w:ascii="Arial" w:hAnsi="Arial"/>
          <w:color w:val="333333"/>
          <w:sz w:val="20"/>
        </w:rPr>
        <w:t>Root Cause Analysis: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Raw material supply chain interruptions (specifically limestone quality variation and delayed gypsum deliveries from regional suppliers).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Frequent unscheduled kiln downtime caused by preheater cyclone blockages and thermal refractory lining wear.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Elevated quality rejection rate of 4.1% due to blaine fineness fluctuations during cement grinding.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</w:t>
      </w:r>
      <w:r>
        <w:rPr>
          <w:rFonts w:ascii="Arial" w:hAnsi="Arial"/>
          <w:color w:val="333333"/>
          <w:sz w:val="20"/>
        </w:rPr>
        <w:t>Immediate Improvement Roadmap: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Conduct an immediate 72-hour technical audit on Kiln-2 and finish mill circuits.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Implement Predictive Maintenance (PdM) vibration monitoring on vertical roller mills to prevent unplanned stoppages.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Restructure raw mix proportioning algorithms to stabilize clinker quality.</w:t>
      </w:r>
    </w:p>
    <w:p>
      <w:pPr>
        <w:keepNext/>
        <w:spacing w:before="200" w:after="80"/>
      </w:pPr>
      <w:r>
        <w:rPr>
          <w:rFonts w:ascii="Arial" w:hAnsi="Arial"/>
          <w:b/>
          <w:color w:val="2C3E50"/>
          <w:sz w:val="23"/>
        </w:rPr>
        <w:t>3.2 Most Inconsistent Production Output: North Plant (Baddi)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While North Plant (Baddi) achieved a total output of 2,050 MT, it exhibits extreme operational volatility. With a Standard Deviation of 175.6 MT and a Coefficient of Variation (CV) of 42.8%, batch sizes fluctuate wildly between 190 MT (Emergency Rapid Hardening) and 630 MT (OPC 53 Grade).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</w:t>
      </w:r>
      <w:r>
        <w:rPr>
          <w:rFonts w:ascii="Arial" w:hAnsi="Arial"/>
          <w:color w:val="333333"/>
          <w:sz w:val="20"/>
        </w:rPr>
        <w:t>Impact &amp; Operational Risks: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Thermal instability in the pyro-processing system caused by erratic cooler speed control.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Severe scheduling friction at dispatch terminals, leaving heavy haulage trucks idling during low-output cycles.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Higher specific energy consumption (kWh/ton) due to frequent kiln start-ups and thermal ramping.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</w:t>
      </w:r>
      <w:r>
        <w:rPr>
          <w:rFonts w:ascii="Arial" w:hAnsi="Arial"/>
          <w:color w:val="333333"/>
          <w:sz w:val="20"/>
        </w:rPr>
        <w:t>Corrective Engineering Action: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Install automated kiln feed control loops and high-accuracy weigh feeders.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Standardize batch size scheduling parameters (targeting nominal 500 MT +/- 10% batch sizes).</w:t>
      </w:r>
    </w:p>
    <w:p>
      <w:pPr>
        <w:keepNext/>
        <w:spacing w:before="200" w:after="80"/>
      </w:pPr>
      <w:r>
        <w:rPr>
          <w:rFonts w:ascii="Arial" w:hAnsi="Arial"/>
          <w:b/>
          <w:color w:val="2C3E50"/>
          <w:sz w:val="23"/>
        </w:rPr>
        <w:t>3.3 Highest Product Rejection Rate: East Plant (Durgapur)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East Plant (Durgapur) registered the highest product rejection/rework rate across the enterprise at 4.8% (compared to industry best-in-class &lt;1.5% and Satna's 1.4%).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</w:t>
      </w:r>
      <w:r>
        <w:rPr>
          <w:rFonts w:ascii="Arial" w:hAnsi="Arial"/>
          <w:color w:val="333333"/>
          <w:sz w:val="20"/>
        </w:rPr>
        <w:t>Quality Breakdown Factors: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High moisture variability in granulated blast furnace slag (PSC manufacturing) leading to false set and strength drop.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Inadequate temperature control during cement grinding, causing gypsum dehydration (hemihydrate formation).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Inconsistent Blaine surface area control in multi-compartment ball mills.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</w:t>
      </w:r>
      <w:r>
        <w:rPr>
          <w:rFonts w:ascii="Arial" w:hAnsi="Arial"/>
          <w:color w:val="333333"/>
          <w:sz w:val="20"/>
        </w:rPr>
        <w:t>Quality Remediation Mandate: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Upgrade slag drying infrastructure and install online X-ray fluorescence (XRF) analyzers at mill inlets.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Enforce strict QA/QC protocol where no batch is released without 3-day and 7-day compressive strength validation testing.</w:t>
      </w:r>
    </w:p>
    <w:p>
      <w:pPr>
        <w:keepNext/>
        <w:spacing w:before="200" w:after="80"/>
      </w:pPr>
      <w:r>
        <w:rPr>
          <w:rFonts w:ascii="Arial" w:hAnsi="Arial"/>
          <w:b/>
          <w:color w:val="2C3E50"/>
          <w:sz w:val="23"/>
        </w:rPr>
        <w:t>3.4 Benchmarking High Performers: Central Plant (Satna) &amp; West Plant (Chandrapur)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Central Plant (Satna) remains XYZ Cement's flagship performer, contributing 3,510 MT (27.3% total volume) with an average batch of 702 MT, lowest CV (23.1%), and lowest rejection rate (1.4%). West Plant (Chandrapur) follows closely with 3,340.5 MT dispatches.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</w:t>
      </w:r>
      <w:r>
        <w:rPr>
          <w:rFonts w:ascii="Arial" w:hAnsi="Arial"/>
          <w:color w:val="333333"/>
          <w:sz w:val="20"/>
        </w:rPr>
        <w:t>Best Practices to Replicate: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Advanced Process Control (APC) expert systems operating the clinker cooler and precalciner.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Standardized preventative maintenance schedules during scheduled 14-day shut-downs.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28"/>
        </w:rPr>
        <w:t>4. Quantified Estimated Production Improvement Roadmap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By executing targeted operational interventions, XYZ Cement Manufacturing Ltd. can realize significant capacity recovery without requiring greenfield capital expansion: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South Plant (Gulbarga): </w:t>
      </w:r>
      <w:r>
        <w:rPr>
          <w:rFonts w:ascii="Arial" w:hAnsi="Arial"/>
          <w:color w:val="333333"/>
          <w:sz w:val="20"/>
        </w:rPr>
        <w:t xml:space="preserve"> Gulbarga's capacity utilization can be elevated from 374 MT/batch to 504 MT/batch by eliminating kiln trips, delivering +650 MT (+34.8% increase).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North Plant (Baddi): </w:t>
      </w:r>
      <w:r>
        <w:rPr>
          <w:rFonts w:ascii="Arial" w:hAnsi="Arial"/>
          <w:color w:val="333333"/>
          <w:sz w:val="20"/>
        </w:rPr>
        <w:t xml:space="preserve"> Eliminating extreme low-batch anomalies through thermal stabilization will yield an additional +550 MT (+26.8% increase).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East Plant (Durgapur): </w:t>
      </w:r>
      <w:r>
        <w:rPr>
          <w:rFonts w:ascii="Arial" w:hAnsi="Arial"/>
          <w:color w:val="333333"/>
          <w:sz w:val="20"/>
        </w:rPr>
        <w:t xml:space="preserve"> Resolving slag moisture issues and mill temperature limits will recover rejected batches and boost throughput by +500 MT (+24.2% increase).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West Plant (Chandrapur): </w:t>
      </w:r>
      <w:r>
        <w:rPr>
          <w:rFonts w:ascii="Arial" w:hAnsi="Arial"/>
          <w:color w:val="333333"/>
          <w:sz w:val="20"/>
        </w:rPr>
        <w:t xml:space="preserve"> Minor process optimization and fan efficiency upgrades will add +360 MT (+10.8% increase).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• Central Plant (Satna): </w:t>
      </w:r>
      <w:r>
        <w:rPr>
          <w:rFonts w:ascii="Arial" w:hAnsi="Arial"/>
          <w:color w:val="333333"/>
          <w:sz w:val="20"/>
        </w:rPr>
        <w:t xml:space="preserve"> Optimization of separator efficiency in grinding circuit will add +290 MT (+8.3% increase).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B365D"/>
                <w:sz w:val="20"/>
              </w:rPr>
              <w:t xml:space="preserve">TOTAL CAPITALIZED IMPROVEMENT OPPORTUNITY: </w:t>
            </w:r>
            <w:r>
              <w:rPr>
                <w:rFonts w:ascii="Arial" w:hAnsi="Arial"/>
                <w:color w:val="2C3E50"/>
                <w:sz w:val="19"/>
              </w:rPr>
              <w:t>TOTAL ORGANIZATIONAL YIELD POTENTIAL:</w:t>
              <w:br/>
              <w:t>Current Total Dispatched Volume: 12,870.5 Metric Tons</w:t>
              <w:br/>
              <w:t>Target Post-Optimization Output: 15,220.0 Metric Tons</w:t>
              <w:br/>
              <w:t>Net Production Improvement: +2,349.5 Metric Tons (+18.25% Overall Growth)</w:t>
            </w:r>
          </w:p>
        </w:tc>
      </w:tr>
    </w:tbl>
    <w:p>
      <w:pPr>
        <w:keepNext/>
        <w:spacing w:before="28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28"/>
        </w:rPr>
        <w:t>5. Strategic Recommendations &amp; Action Plan for the CEO</w:t>
      </w:r>
    </w:p>
    <w:p>
      <w:pPr>
        <w:spacing w:before="60" w:after="80" w:line="276" w:lineRule="auto"/>
      </w:pPr>
      <w:r>
        <w:rPr>
          <w:rFonts w:ascii="Arial" w:hAnsi="Arial"/>
          <w:color w:val="333333"/>
          <w:sz w:val="20"/>
        </w:rPr>
        <w:t>To execute these improvements effectively over the next 90 to 180 days, the following prioritized action plan is presented for executive approval: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1. Immediate Term (Days 1–30): </w:t>
      </w:r>
      <w:r>
        <w:rPr>
          <w:rFonts w:ascii="Arial" w:hAnsi="Arial"/>
          <w:color w:val="333333"/>
          <w:sz w:val="20"/>
        </w:rPr>
        <w:t xml:space="preserve"> Deploy a task force of senior mechanical and process engineers to Gulbarga for a 14-day plant turnaround project.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2. Near Term (Days 31–60): </w:t>
      </w:r>
      <w:r>
        <w:rPr>
          <w:rFonts w:ascii="Arial" w:hAnsi="Arial"/>
          <w:color w:val="333333"/>
          <w:sz w:val="20"/>
        </w:rPr>
        <w:t xml:space="preserve"> Implement mandatory raw material quality gates at Durgapur to reject high-moisture slag prior to grinding.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3. Mid Term (Days 61–90): </w:t>
      </w:r>
      <w:r>
        <w:rPr>
          <w:rFonts w:ascii="Arial" w:hAnsi="Arial"/>
          <w:color w:val="333333"/>
          <w:sz w:val="20"/>
        </w:rPr>
        <w:t xml:space="preserve"> Install automated weigh-feeder controls and thermal sensors at Baddi to eliminate batch size variance.</w:t>
      </w:r>
    </w:p>
    <w:p>
      <w:pPr>
        <w:spacing w:before="60" w:after="80" w:line="276" w:lineRule="auto"/>
      </w:pPr>
      <w:r>
        <w:rPr>
          <w:rFonts w:ascii="Arial" w:hAnsi="Arial"/>
          <w:b/>
          <w:color w:val="1B365D"/>
          <w:sz w:val="20"/>
        </w:rPr>
        <w:t xml:space="preserve">4. Strategic Horizon (Days 91–180): </w:t>
      </w:r>
      <w:r>
        <w:rPr>
          <w:rFonts w:ascii="Arial" w:hAnsi="Arial"/>
          <w:color w:val="333333"/>
          <w:sz w:val="20"/>
        </w:rPr>
        <w:t xml:space="preserve"> Replicate Satna's Advanced Process Control (APC) digital twin architecture across Gulbarga and Durgapur facilities.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