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aps/>
          <w:color w:val="B5522B"/>
          <w:spacing w:val="40"/>
          <w:sz w:val="18"/>
          <w:szCs w:val="18"/>
        </w:rPr>
        <w:t xml:space="preserve">Assignment 3  ·  Execution</w:t>
      </w:r>
    </w:p>
    <w:p>
      <w:pPr>
        <w:spacing w:after="160"/>
      </w:pPr>
      <w:r>
        <w:rPr>
          <w:rFonts w:ascii="Georgia" w:cs="Georgia" w:eastAsia="Georgia" w:hAnsi="Georgia"/>
          <w:color w:val="1A1A1A"/>
          <w:sz w:val="40"/>
          <w:szCs w:val="40"/>
        </w:rPr>
        <w:t xml:space="preserve">Validation Execution Report</w:t>
      </w:r>
    </w:p>
    <w:p>
      <w:pPr>
        <w:spacing w:after="340" w:line="300"/>
      </w:pPr>
      <w:r>
        <w:rPr>
          <w:rFonts w:ascii="Calibri" w:cs="Calibri" w:eastAsia="Calibri" w:hAnsi="Calibri"/>
          <w:i/>
          <w:iCs/>
          <w:color w:val="8A8073"/>
          <w:sz w:val="22"/>
          <w:szCs w:val="22"/>
        </w:rPr>
        <w:t xml:space="preserve">What was run, what it found, and what remains uncertain.</w:t>
      </w:r>
    </w:p>
    <w:p>
      <w:pPr>
        <w:pBdr>
          <w:bottom w:val="single" w:color="B5522B" w:sz="6" w:space="8"/>
        </w:pBdr>
        <w:spacing w:after="60" w:before="340"/>
      </w:pPr>
      <w:r>
        <w:rPr>
          <w:rFonts w:ascii="Georgia" w:cs="Georgia" w:eastAsia="Georgia" w:hAnsi="Georgia"/>
          <w:color w:val="1A1A1A"/>
          <w:sz w:val="26"/>
          <w:szCs w:val="26"/>
        </w:rPr>
        <w:t xml:space="preserve">Environment</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3000"/>
        <w:gridCol w:w="6200"/>
      </w:tblGrid>
      <w:tr>
        <w:trPr>
          <w:tblHeader/>
        </w:trPr>
        <w:tc>
          <w:tcPr>
            <w:tcW w:type="dxa" w:w="30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Item</w:t>
            </w:r>
          </w:p>
        </w:tc>
        <w:tc>
          <w:tcPr>
            <w:tcW w:type="dxa" w:w="62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Detail</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Applications</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FinServe Retail Demo on port 8082; Insurance Order Entry Demo on port 8081</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Host</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TalentFarm lab virtual machine, Windows Server. The address changes between sessions and is held in configuration rather than in any test</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Stack</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PHP Laravel with MySQL behind both applications, per the supplied documentation</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Browsers</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Chromium for the full suite; Firefox for a tagged smoke subset</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Framework</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Playwright 1.62 with JavaScript, Page Object Model, one retry configured</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Accounts</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Seeded FinServe customers and a registered Order Entry agent. Credentials held in configuration</w:t>
            </w:r>
          </w:p>
        </w:tc>
      </w:tr>
      <w:tr>
        <w:trPr>
          <w:tblHeader w:val="false"/>
        </w:trPr>
        <w:tc>
          <w:tcPr>
            <w:tcW w:type="dxa" w:w="3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Backend access</w:t>
            </w:r>
          </w:p>
        </w:tc>
        <w:tc>
          <w:tcPr>
            <w:tcW w:type="dxa" w:w="6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The documented API was used throughout. No database credentials were issued, so no table was queried directly</w:t>
            </w:r>
          </w:p>
        </w:tc>
      </w:tr>
    </w:tbl>
    <w:p>
      <w:pPr>
        <w:spacing w:after="180" w:line="280"/>
      </w:pPr>
      <w:r>
        <w:rPr>
          <w:rFonts w:ascii="Calibri" w:cs="Calibri" w:eastAsia="Calibri" w:hAnsi="Calibri"/>
          <w:color w:val="1A1A1A"/>
          <w:sz w:val="21"/>
          <w:szCs w:val="21"/>
        </w:rPr>
        <w:t xml:space="preserve"/>
      </w:r>
    </w:p>
    <w:p>
      <w:pPr>
        <w:spacing w:after="150" w:line="280"/>
      </w:pPr>
      <w:r>
        <w:rPr>
          <w:rFonts w:ascii="Calibri" w:cs="Calibri" w:eastAsia="Calibri" w:hAnsi="Calibri"/>
          <w:color w:val="1A1A1A"/>
          <w:sz w:val="21"/>
          <w:szCs w:val="21"/>
        </w:rPr>
        <w:t xml:space="preserve">The environment was shared with other learners and could not be reset. Two consequences followed. Assertions on shared values check movement rather than fixed figures, and some tests guard on a precondition so that they step aside rather than fail when the data has moved on.</w:t>
      </w:r>
    </w:p>
    <w:p>
      <w:pPr>
        <w:pBdr>
          <w:bottom w:val="single" w:color="B5522B" w:sz="6" w:space="8"/>
        </w:pBdr>
        <w:spacing w:after="60" w:before="340"/>
      </w:pPr>
      <w:r>
        <w:rPr>
          <w:rFonts w:ascii="Georgia" w:cs="Georgia" w:eastAsia="Georgia" w:hAnsi="Georgia"/>
          <w:color w:val="1A1A1A"/>
          <w:sz w:val="26"/>
          <w:szCs w:val="26"/>
        </w:rPr>
        <w:t xml:space="preserve">Execution summary</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4000"/>
        <w:gridCol w:w="1600"/>
        <w:gridCol w:w="3600"/>
      </w:tblGrid>
      <w:tr>
        <w:trPr>
          <w:tblHeader/>
        </w:trPr>
        <w:tc>
          <w:tcPr>
            <w:tcW w:type="dxa" w:w="40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Outcome</w:t>
            </w:r>
          </w:p>
        </w:tc>
        <w:tc>
          <w:tcPr>
            <w:tcW w:type="dxa" w:w="16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Count</w:t>
            </w:r>
          </w:p>
        </w:tc>
        <w:tc>
          <w:tcPr>
            <w:tcW w:type="dxa" w:w="36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Meaning</w:t>
            </w:r>
          </w:p>
        </w:tc>
      </w:tr>
      <w:tr>
        <w:trPr>
          <w:tblHeader w:val="false"/>
        </w:trPr>
        <w:tc>
          <w:tcPr>
            <w:tcW w:type="dxa" w:w="4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Passed</w:t>
            </w:r>
          </w:p>
        </w:tc>
        <w:tc>
          <w:tcPr>
            <w:tcW w:type="dxa" w:w="1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43</w:t>
            </w:r>
          </w:p>
        </w:tc>
        <w:tc>
          <w:tcPr>
            <w:tcW w:type="dxa" w:w="3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Behaviour matched the documented rule</w:t>
            </w:r>
          </w:p>
        </w:tc>
      </w:tr>
      <w:tr>
        <w:trPr>
          <w:tblHeader w:val="false"/>
        </w:trPr>
        <w:tc>
          <w:tcPr>
            <w:tcW w:type="dxa" w:w="4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Failed</w:t>
            </w:r>
          </w:p>
        </w:tc>
        <w:tc>
          <w:tcPr>
            <w:tcW w:type="dxa" w:w="1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8</w:t>
            </w:r>
          </w:p>
        </w:tc>
        <w:tc>
          <w:tcPr>
            <w:tcW w:type="dxa" w:w="3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Each traces to a confirmed application defect</w:t>
            </w:r>
          </w:p>
        </w:tc>
      </w:tr>
      <w:tr>
        <w:trPr>
          <w:tblHeader w:val="false"/>
        </w:trPr>
        <w:tc>
          <w:tcPr>
            <w:tcW w:type="dxa" w:w="4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Skipped</w:t>
            </w:r>
          </w:p>
        </w:tc>
        <w:tc>
          <w:tcPr>
            <w:tcW w:type="dxa" w:w="1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2</w:t>
            </w:r>
          </w:p>
        </w:tc>
        <w:tc>
          <w:tcPr>
            <w:tcW w:type="dxa" w:w="3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Precondition not met by the shared test data</w:t>
            </w:r>
          </w:p>
        </w:tc>
      </w:tr>
      <w:tr>
        <w:trPr>
          <w:tblHeader w:val="false"/>
        </w:trPr>
        <w:tc>
          <w:tcPr>
            <w:tcW w:type="dxa" w:w="40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Total</w:t>
            </w:r>
          </w:p>
        </w:tc>
        <w:tc>
          <w:tcPr>
            <w:tcW w:type="dxa" w:w="1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53</w:t>
            </w:r>
          </w:p>
        </w:tc>
        <w:tc>
          <w:tcPr>
            <w:tcW w:type="dxa" w:w="36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
            </w:r>
          </w:p>
        </w:tc>
      </w:tr>
    </w:tbl>
    <w:p>
      <w:pPr>
        <w:spacing w:after="180" w:line="280"/>
      </w:pPr>
      <w:r>
        <w:rPr>
          <w:rFonts w:ascii="Calibri" w:cs="Calibri" w:eastAsia="Calibri" w:hAnsi="Calibri"/>
          <w:color w:val="1A1A1A"/>
          <w:sz w:val="21"/>
          <w:szCs w:val="21"/>
        </w:rPr>
        <w:t xml:space="preserve"/>
      </w:r>
    </w:p>
    <w:p>
      <w:pPr>
        <w:spacing w:after="150" w:line="280"/>
      </w:pPr>
      <w:r>
        <w:rPr>
          <w:rFonts w:ascii="Calibri" w:cs="Calibri" w:eastAsia="Calibri" w:hAnsi="Calibri"/>
          <w:color w:val="1A1A1A"/>
          <w:sz w:val="21"/>
          <w:szCs w:val="21"/>
        </w:rPr>
        <w:t xml:space="preserve">The eight failures cover six distinct defects; four of them relate to a single beneficiary allocation issue observed at four points in the workflow. Failures are left in place deliberately, so that a fix will turn them green without any change to the suite.</w:t>
      </w:r>
    </w:p>
    <w:p>
      <w:pPr>
        <w:spacing w:after="150" w:line="280"/>
      </w:pPr>
      <w:r>
        <w:rPr>
          <w:rFonts w:ascii="Calibri" w:cs="Calibri" w:eastAsia="Calibri" w:hAnsi="Calibri"/>
          <w:color w:val="1A1A1A"/>
          <w:sz w:val="21"/>
          <w:szCs w:val="21"/>
        </w:rPr>
        <w:t xml:space="preserve">A full run takes roughly three and a half minutes on a single worker. Parallel workers were avoided for the reported run because the applications share seeded data and workers can alter values another test is reading.</w:t>
      </w:r>
    </w:p>
    <w:p>
      <w:pPr>
        <w:pBdr>
          <w:bottom w:val="single" w:color="B5522B" w:sz="6" w:space="8"/>
        </w:pBdr>
        <w:spacing w:after="60" w:before="340"/>
      </w:pPr>
      <w:r>
        <w:rPr>
          <w:rFonts w:ascii="Georgia" w:cs="Georgia" w:eastAsia="Georgia" w:hAnsi="Georgia"/>
          <w:color w:val="1A1A1A"/>
          <w:sz w:val="26"/>
          <w:szCs w:val="26"/>
        </w:rPr>
        <w:t xml:space="preserve">Scope executed</w:t>
      </w:r>
    </w:p>
    <w:p>
      <w:pPr>
        <w:spacing w:after="80" w:before="220"/>
      </w:pPr>
      <w:r>
        <w:rPr>
          <w:rFonts w:ascii="Calibri" w:cs="Calibri" w:eastAsia="Calibri" w:hAnsi="Calibri"/>
          <w:b/>
          <w:bCs/>
          <w:caps/>
          <w:color w:val="B5522B"/>
          <w:spacing w:val="24"/>
          <w:sz w:val="21"/>
          <w:szCs w:val="21"/>
        </w:rPr>
        <w:t xml:space="preserve">FinServe Retail</w:t>
      </w:r>
    </w:p>
    <w:p>
      <w:pPr>
        <w:spacing w:after="150" w:line="280"/>
      </w:pPr>
      <w:r>
        <w:rPr>
          <w:rFonts w:ascii="Calibri" w:cs="Calibri" w:eastAsia="Calibri" w:hAnsi="Calibri"/>
          <w:color w:val="1A1A1A"/>
          <w:sz w:val="21"/>
          <w:szCs w:val="21"/>
        </w:rPr>
        <w:t xml:space="preserve">Authentication including a locked account and an empty-state customer. Dashboard summary values and recent activity. Mutual fund discovery, filtering and fund detail. Investment including the per-fund minimum boundary. Portfolio totals and holding reconciliation. Redemption by amount and by units, including the over-balance boundary and a completed redemption traced through to the portfolio. Insurance discovery, filtering, premium consistency, purchase and the resulting policy. Transaction history, filters and search. Profile including data masking. All fifteen documented API endpoints across authentication, schema and value checks.</w:t>
      </w:r>
    </w:p>
    <w:p>
      <w:pPr>
        <w:spacing w:after="80" w:before="220"/>
      </w:pPr>
      <w:r>
        <w:rPr>
          <w:rFonts w:ascii="Calibri" w:cs="Calibri" w:eastAsia="Calibri" w:hAnsi="Calibri"/>
          <w:b/>
          <w:bCs/>
          <w:caps/>
          <w:color w:val="B5522B"/>
          <w:spacing w:val="24"/>
          <w:sz w:val="21"/>
          <w:szCs w:val="21"/>
        </w:rPr>
        <w:t xml:space="preserve">Insurance Order Entry</w:t>
      </w:r>
    </w:p>
    <w:p>
      <w:pPr>
        <w:spacing w:after="150" w:line="280"/>
      </w:pPr>
      <w:r>
        <w:rPr>
          <w:rFonts w:ascii="Calibri" w:cs="Calibri" w:eastAsia="Calibri" w:hAnsi="Calibri"/>
          <w:color w:val="1A1A1A"/>
          <w:sz w:val="21"/>
          <w:szCs w:val="21"/>
        </w:rPr>
        <w:t xml:space="preserve">Authentication. Agent dashboard summary tiles reconciled against the full application list. Product configuration including the sum assured boundary and a computed premium check. Beneficiary capture including conditional panels by type and the allocation rule. Document upload. Review validation and submission gating.</w:t>
      </w:r>
    </w:p>
    <w:p>
      <w:pPr>
        <w:spacing w:after="80" w:before="220"/>
      </w:pPr>
      <w:r>
        <w:rPr>
          <w:rFonts w:ascii="Calibri" w:cs="Calibri" w:eastAsia="Calibri" w:hAnsi="Calibri"/>
          <w:b/>
          <w:bCs/>
          <w:caps/>
          <w:color w:val="B5522B"/>
          <w:spacing w:val="24"/>
          <w:sz w:val="21"/>
          <w:szCs w:val="21"/>
        </w:rPr>
        <w:t xml:space="preserve">Not executed</w:t>
      </w:r>
    </w:p>
    <w:p>
      <w:pPr>
        <w:pStyle w:val="ListParagraph"/>
        <w:numPr>
          <w:ilvl w:val="0"/>
          <w:numId w:val="2"/>
        </w:numPr>
        <w:spacing w:after="80" w:line="270"/>
      </w:pPr>
      <w:r>
        <w:rPr>
          <w:rFonts w:ascii="Calibri" w:cs="Calibri" w:eastAsia="Calibri" w:hAnsi="Calibri"/>
          <w:color w:val="1A1A1A"/>
          <w:sz w:val="21"/>
          <w:szCs w:val="21"/>
        </w:rPr>
        <w:t xml:space="preserve">The full nine step Order Entry wizard was not automated end to end. The steps carrying the highest risk were selected instead.</w:t>
      </w:r>
    </w:p>
    <w:p>
      <w:pPr>
        <w:pStyle w:val="ListParagraph"/>
        <w:numPr>
          <w:ilvl w:val="0"/>
          <w:numId w:val="2"/>
        </w:numPr>
        <w:spacing w:after="80" w:line="270"/>
      </w:pPr>
      <w:r>
        <w:rPr>
          <w:rFonts w:ascii="Calibri" w:cs="Calibri" w:eastAsia="Calibri" w:hAnsi="Calibri"/>
          <w:color w:val="1A1A1A"/>
          <w:sz w:val="21"/>
          <w:szCs w:val="21"/>
        </w:rPr>
        <w:t xml:space="preserve">Riders and the address and KYC steps have page objects but no dedicated tests.</w:t>
      </w:r>
    </w:p>
    <w:p>
      <w:pPr>
        <w:pStyle w:val="ListParagraph"/>
        <w:numPr>
          <w:ilvl w:val="0"/>
          <w:numId w:val="2"/>
        </w:numPr>
        <w:spacing w:after="80" w:line="270"/>
      </w:pPr>
      <w:r>
        <w:rPr>
          <w:rFonts w:ascii="Calibri" w:cs="Calibri" w:eastAsia="Calibri" w:hAnsi="Calibri"/>
          <w:color w:val="1A1A1A"/>
          <w:sz w:val="21"/>
          <w:szCs w:val="21"/>
        </w:rPr>
        <w:t xml:space="preserve">No database verification, as no credentials were issued.</w:t>
      </w:r>
    </w:p>
    <w:p>
      <w:pPr>
        <w:pStyle w:val="ListParagraph"/>
        <w:numPr>
          <w:ilvl w:val="0"/>
          <w:numId w:val="2"/>
        </w:numPr>
        <w:spacing w:after="80" w:line="270"/>
      </w:pPr>
      <w:r>
        <w:rPr>
          <w:rFonts w:ascii="Calibri" w:cs="Calibri" w:eastAsia="Calibri" w:hAnsi="Calibri"/>
          <w:color w:val="1A1A1A"/>
          <w:sz w:val="21"/>
          <w:szCs w:val="21"/>
        </w:rPr>
        <w:t xml:space="preserve">No performance, accessibility or security testing, all of which were out of scope.</w:t>
      </w:r>
    </w:p>
    <w:p>
      <w:r>
        <w:br w:type="page"/>
      </w:r>
    </w:p>
    <w:p>
      <w:pPr>
        <w:pBdr>
          <w:bottom w:val="single" w:color="B5522B" w:sz="6" w:space="8"/>
        </w:pBdr>
        <w:spacing w:after="60" w:before="340"/>
      </w:pPr>
      <w:r>
        <w:rPr>
          <w:rFonts w:ascii="Georgia" w:cs="Georgia" w:eastAsia="Georgia" w:hAnsi="Georgia"/>
          <w:color w:val="1A1A1A"/>
          <w:sz w:val="26"/>
          <w:szCs w:val="26"/>
        </w:rPr>
        <w:t xml:space="preserve">Failure analysis</w:t>
      </w:r>
    </w:p>
    <w:p>
      <w:pPr>
        <w:spacing w:after="150" w:line="280"/>
      </w:pPr>
      <w:r>
        <w:rPr>
          <w:rFonts w:ascii="Calibri" w:cs="Calibri" w:eastAsia="Calibri" w:hAnsi="Calibri"/>
          <w:color w:val="1A1A1A"/>
          <w:sz w:val="21"/>
          <w:szCs w:val="21"/>
        </w:rPr>
        <w:t xml:space="preserve">Every failure was classified before being written up, into one of five categories: an application defect, a fault in the automation, a test data problem, an environment problem, or an unstable test. Only the first category belongs in a defect log.</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1800"/>
        <w:gridCol w:w="2200"/>
        <w:gridCol w:w="5200"/>
      </w:tblGrid>
      <w:tr>
        <w:trPr>
          <w:tblHeader/>
        </w:trPr>
        <w:tc>
          <w:tcPr>
            <w:tcW w:type="dxa" w:w="18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Test</w:t>
            </w:r>
          </w:p>
        </w:tc>
        <w:tc>
          <w:tcPr>
            <w:tcW w:type="dxa" w:w="22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Classification</w:t>
            </w:r>
          </w:p>
        </w:tc>
        <w:tc>
          <w:tcPr>
            <w:tcW w:type="dxa" w:w="52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Detail</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FS-33</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 defect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Portfolio API total inflated by a fixed 999.00</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FS-25, FS-26</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 defect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Insurance eligible age range not enforced at either bound</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OE-08, OE-11, OE-14, OE-15</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 defect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Beneficiary allocation below 100% never validated</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OE-16</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 defect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Calculated age one year higher than the date of birth implies</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OE-05</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Automation fault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Compared dashboard tiles against a table it could not read. The dashboard and the applications list use different test ids for the same kind of table. Corrected</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OE-07</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Test data</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Pointed at an application that had been submitted and could no longer accept beneficiaries. Corrected by targeting a draft</w:t>
            </w:r>
          </w:p>
        </w:tc>
      </w:tr>
      <w:tr>
        <w:trPr>
          <w:tblHeader w:val="false"/>
        </w:trPr>
        <w:tc>
          <w:tcPr>
            <w:tcW w:type="dxa" w:w="1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FS-12</w:t>
            </w:r>
          </w:p>
        </w:tc>
        <w:tc>
          <w:tcPr>
            <w:tcW w:type="dxa" w:w="2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Application defect</w:t>
            </w:r>
          </w:p>
        </w:tc>
        <w:tc>
          <w:tcPr>
            <w:tcW w:type="dxa" w:w="52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Failed payment shown as SUCCESS. Failed in earlier runs, passed in the final run with no code change</w:t>
            </w:r>
          </w:p>
        </w:tc>
      </w:tr>
    </w:tbl>
    <w:p>
      <w:pPr>
        <w:spacing w:after="180" w:line="280"/>
      </w:pPr>
      <w:r>
        <w:rPr>
          <w:rFonts w:ascii="Calibri" w:cs="Calibri" w:eastAsia="Calibri" w:hAnsi="Calibri"/>
          <w:color w:val="1A1A1A"/>
          <w:sz w:val="21"/>
          <w:szCs w:val="21"/>
        </w:rPr>
        <w:t xml:space="preserve"/>
      </w:r>
    </w:p>
    <w:p>
      <w:pPr>
        <w:spacing w:after="150" w:line="280"/>
      </w:pPr>
      <w:r>
        <w:rPr>
          <w:rFonts w:ascii="Calibri" w:cs="Calibri" w:eastAsia="Calibri" w:hAnsi="Calibri"/>
          <w:color w:val="1A1A1A"/>
          <w:sz w:val="21"/>
          <w:szCs w:val="21"/>
        </w:rPr>
        <w:t xml:space="preserve">The two automation faults are worth recording rather than quietly fixing. Both looked like defects at first and were only distinguished by investigating what the test was actually doing. Reporting either as an application defect would have wasted a reviewer’s time and undermined the rest of the log.</w:t>
      </w:r>
    </w:p>
    <w:p>
      <w:pPr>
        <w:pBdr>
          <w:bottom w:val="single" w:color="B5522B" w:sz="6" w:space="8"/>
        </w:pBdr>
        <w:spacing w:after="60" w:before="340"/>
      </w:pPr>
      <w:r>
        <w:rPr>
          <w:rFonts w:ascii="Georgia" w:cs="Georgia" w:eastAsia="Georgia" w:hAnsi="Georgia"/>
          <w:color w:val="1A1A1A"/>
          <w:sz w:val="26"/>
          <w:szCs w:val="26"/>
        </w:rPr>
        <w:t xml:space="preserve">Seeded defect discovery</w:t>
      </w:r>
    </w:p>
    <w:p>
      <w:pPr>
        <w:spacing w:after="150" w:line="280"/>
      </w:pPr>
      <w:r>
        <w:rPr>
          <w:rFonts w:ascii="Calibri" w:cs="Calibri" w:eastAsia="Calibri" w:hAnsi="Calibri"/>
          <w:color w:val="1A1A1A"/>
          <w:sz w:val="21"/>
          <w:szCs w:val="21"/>
        </w:rPr>
        <w:t xml:space="preserve">Six defects were confirmed and are documented in the defect log. Four are high severity: a portfolio total that disagrees with its own holdings, an insurance eligibility rule that is published but not applied, a beneficiary allocation rule that is never checked at any point, and a failed payment presented as successful.</w:t>
      </w:r>
    </w:p>
    <w:p>
      <w:pPr>
        <w:spacing w:after="150" w:line="280"/>
      </w:pPr>
      <w:r>
        <w:rPr>
          <w:rFonts w:ascii="Calibri" w:cs="Calibri" w:eastAsia="Calibri" w:hAnsi="Calibri"/>
          <w:color w:val="1A1A1A"/>
          <w:sz w:val="21"/>
          <w:szCs w:val="21"/>
        </w:rPr>
        <w:t xml:space="preserve">Ten of the thirteen issue types listed in the problem statement did not reproduce. Each was tested and ruled out with evidence: login failures, invalid login messaging, dashboard values failing to refresh, filters returning incorrect results, minimum investment validation, redemption above holding value, insurance premium mismatch, mandatory field validation, missing transaction history entries, and cross-browser filter differences. Ruling a risk out is a result, and those tests remain as regression cover.</w:t>
      </w:r>
    </w:p>
    <w:p>
      <w:pPr>
        <w:pBdr>
          <w:left w:val="single" w:color="F0E7DC" w:sz="12" w:space="12"/>
        </w:pBdr>
        <w:spacing w:after="110" w:before="140" w:line="280"/>
        <w:ind w:left="300"/>
      </w:pPr>
      <w:r>
        <w:rPr>
          <w:rFonts w:ascii="Georgia" w:cs="Georgia" w:eastAsia="Georgia" w:hAnsi="Georgia"/>
          <w:i/>
          <w:iCs/>
          <w:color w:val="1A1A1A"/>
          <w:sz w:val="21"/>
          <w:szCs w:val="21"/>
        </w:rPr>
        <w:t xml:space="preserve">Seeded defects appear to be toggled server-side during a session rather than fixed for its duration.</w:t>
      </w:r>
    </w:p>
    <w:p>
      <w:pPr>
        <w:spacing w:after="150" w:line="280"/>
      </w:pPr>
      <w:r>
        <w:rPr>
          <w:rFonts w:ascii="Calibri" w:cs="Calibri" w:eastAsia="Calibri" w:hAnsi="Calibri"/>
          <w:color w:val="1A1A1A"/>
          <w:sz w:val="21"/>
          <w:szCs w:val="21"/>
        </w:rPr>
        <w:t xml:space="preserve">Three separate observations support this. A transaction status defect failed reliably early in testing, passed later, failed again, and passed in the final run, with no change to the suite between runs. The Order Entry product page contains a flag named seededProd001Active, described in the page source as "premium did not update after frequency change", which was false when tested. And a sum assured issue observed during the initial study phase did not reproduce during execution.</w:t>
      </w:r>
    </w:p>
    <w:p>
      <w:pPr>
        <w:spacing w:after="150" w:line="280"/>
      </w:pPr>
      <w:r>
        <w:rPr>
          <w:rFonts w:ascii="Calibri" w:cs="Calibri" w:eastAsia="Calibri" w:hAnsi="Calibri"/>
          <w:color w:val="1A1A1A"/>
          <w:sz w:val="21"/>
          <w:szCs w:val="21"/>
        </w:rPr>
        <w:t xml:space="preserve">The practical consequence is that any single run describes the environment at that moment rather than a permanent state. This is the clearest argument for the regression approach set out in the earlier submission, and it is why the defect log records one item as not reproducing at the time of the final run rather than as closed.</w:t>
      </w:r>
    </w:p>
    <w:p>
      <w:pPr>
        <w:pBdr>
          <w:bottom w:val="single" w:color="B5522B" w:sz="6" w:space="8"/>
        </w:pBdr>
        <w:spacing w:after="60" w:before="340"/>
      </w:pPr>
      <w:r>
        <w:rPr>
          <w:rFonts w:ascii="Georgia" w:cs="Georgia" w:eastAsia="Georgia" w:hAnsi="Georgia"/>
          <w:color w:val="1A1A1A"/>
          <w:sz w:val="26"/>
          <w:szCs w:val="26"/>
        </w:rPr>
        <w:t xml:space="preserve">Risks and blockers</w:t>
      </w:r>
    </w:p>
    <w:tbl>
      <w:tblPr>
        <w:tblW w:type="dxa" w:w="9200"/>
        <w:tblBorders>
          <w:top w:val="none" w:color="FFFFFF" w:sz="0"/>
          <w:left w:val="none" w:color="FFFFFF" w:sz="0"/>
          <w:bottom w:val="none" w:color="FFFFFF" w:sz="0"/>
          <w:right w:val="none" w:color="FFFFFF" w:sz="0"/>
          <w:insideH w:val="none" w:color="FFFFFF" w:sz="0"/>
          <w:insideV w:val="none" w:color="FFFFFF" w:sz="0"/>
        </w:tblBorders>
      </w:tblPr>
      <w:tblGrid>
        <w:gridCol w:w="3400"/>
        <w:gridCol w:w="5800"/>
      </w:tblGrid>
      <w:tr>
        <w:trPr>
          <w:tblHeader/>
        </w:trPr>
        <w:tc>
          <w:tcPr>
            <w:tcW w:type="dxa" w:w="34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Item</w:t>
            </w:r>
          </w:p>
        </w:tc>
        <w:tc>
          <w:tcPr>
            <w:tcW w:type="dxa" w:w="5800"/>
            <w:tcBorders>
              <w:top w:val="none" w:color="FFFFFF" w:sz="0"/>
              <w:left w:val="none" w:color="FFFFFF" w:sz="0"/>
              <w:bottom w:val="single" w:color="1A1A1A" w:sz="10"/>
              <w:right w:val="none" w:color="FFFFFF" w:sz="0"/>
            </w:tcBorders>
            <w:tcMar>
              <w:top w:type="dxa" w:w="90"/>
              <w:left w:type="dxa" w:w="0"/>
              <w:bottom w:type="dxa" w:w="90"/>
              <w:right w:type="dxa" w:w="160"/>
            </w:tcMar>
          </w:tcPr>
          <w:p>
            <w:pPr>
              <w:spacing w:after="0" w:line="260"/>
            </w:pPr>
            <w:r>
              <w:rPr>
                <w:rFonts w:ascii="Calibri" w:cs="Calibri" w:eastAsia="Calibri" w:hAnsi="Calibri"/>
                <w:b/>
                <w:bCs/>
                <w:color w:val="1A1A1A"/>
                <w:sz w:val="19"/>
                <w:szCs w:val="19"/>
              </w:rPr>
              <w:t xml:space="preserve">Effect</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The Seeded Defect Catalog was never provided</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Defects could only be found by exploration, so some of the intended set may have been missed. Without it there is no way to know how many were expected</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No database credentials</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Backend verification relied on the documented API and could not confirm what was actually written to a table. Findings needing that proof are recorded as unconfirmed at that layer</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Shared, non-resettable environment</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Other learners change the same seeded data during a run. Assertions check movement rather than fixed values, and two tests skip when the data has moved on</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 has no documented API</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That application could only be verified through the interface, so no cross-layer reconciliation was possible on it</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Intermittent HTTP 500 on /portfolio</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One retry is configured. Affected tests report as flaky rather than failed</w:t>
            </w:r>
          </w:p>
        </w:tc>
      </w:tr>
      <w:tr>
        <w:trPr>
          <w:tblHeader w:val="false"/>
        </w:trPr>
        <w:tc>
          <w:tcPr>
            <w:tcW w:type="dxa" w:w="34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Order Entry tests share fixed application ids</w:t>
            </w:r>
          </w:p>
        </w:tc>
        <w:tc>
          <w:tcPr>
            <w:tcW w:type="dxa" w:w="5800"/>
            <w:tcBorders>
              <w:top w:val="none" w:color="FFFFFF" w:sz="0"/>
              <w:left w:val="none" w:color="FFFFFF" w:sz="0"/>
              <w:bottom w:val="single" w:color="D6CFC5" w:sz="3"/>
              <w:right w:val="none" w:color="FFFFFF" w:sz="0"/>
            </w:tcBorders>
            <w:tcMar>
              <w:top w:type="dxa" w:w="90"/>
              <w:left w:type="dxa" w:w="0"/>
              <w:bottom w:type="dxa" w:w="90"/>
              <w:right w:type="dxa" w:w="160"/>
            </w:tcMar>
          </w:tcPr>
          <w:p>
            <w:pPr>
              <w:spacing w:after="0" w:line="260"/>
            </w:pPr>
            <w:r>
              <w:rPr>
                <w:rFonts w:ascii="Calibri" w:cs="Calibri" w:eastAsia="Calibri" w:hAnsi="Calibri"/>
                <w:b w:val="false"/>
                <w:bCs w:val="false"/>
                <w:color w:val="1A1A1A"/>
                <w:sz w:val="20"/>
                <w:szCs w:val="20"/>
              </w:rPr>
              <w:t xml:space="preserve">Tests are order dependent and can skip or interfere when an application changes state. This is a limitation of the suite, not of the application</w:t>
            </w:r>
          </w:p>
        </w:tc>
      </w:tr>
    </w:tbl>
    <w:p>
      <w:r>
        <w:br w:type="page"/>
      </w:r>
    </w:p>
    <w:p>
      <w:pPr>
        <w:pBdr>
          <w:bottom w:val="single" w:color="B5522B" w:sz="6" w:space="8"/>
        </w:pBdr>
        <w:spacing w:after="60" w:before="340"/>
      </w:pPr>
      <w:r>
        <w:rPr>
          <w:rFonts w:ascii="Georgia" w:cs="Georgia" w:eastAsia="Georgia" w:hAnsi="Georgia"/>
          <w:color w:val="1A1A1A"/>
          <w:sz w:val="26"/>
          <w:szCs w:val="26"/>
        </w:rPr>
        <w:t xml:space="preserve">Recommendations</w:t>
      </w:r>
    </w:p>
    <w:p>
      <w:pPr>
        <w:spacing w:after="80" w:before="220"/>
      </w:pPr>
      <w:r>
        <w:rPr>
          <w:rFonts w:ascii="Calibri" w:cs="Calibri" w:eastAsia="Calibri" w:hAnsi="Calibri"/>
          <w:b/>
          <w:bCs/>
          <w:caps/>
          <w:color w:val="B5522B"/>
          <w:spacing w:val="24"/>
          <w:sz w:val="21"/>
          <w:szCs w:val="21"/>
        </w:rPr>
        <w:t xml:space="preserve">For the applications</w:t>
      </w:r>
    </w:p>
    <w:p>
      <w:pPr>
        <w:pStyle w:val="ListParagraph"/>
        <w:numPr>
          <w:ilvl w:val="0"/>
          <w:numId w:val="2"/>
        </w:numPr>
        <w:spacing w:after="80" w:line="270"/>
      </w:pPr>
      <w:r>
        <w:rPr>
          <w:rFonts w:ascii="Calibri" w:cs="Calibri" w:eastAsia="Calibri" w:hAnsi="Calibri"/>
          <w:color w:val="1A1A1A"/>
          <w:sz w:val="21"/>
          <w:szCs w:val="21"/>
        </w:rPr>
        <w:t xml:space="preserve">Fix the portfolio total first. It is a fixed offset and therefore likely a single line, and it is the only defect where the customer’s own money figure is misstated.</w:t>
      </w:r>
    </w:p>
    <w:p>
      <w:pPr>
        <w:pStyle w:val="ListParagraph"/>
        <w:numPr>
          <w:ilvl w:val="0"/>
          <w:numId w:val="2"/>
        </w:numPr>
        <w:spacing w:after="80" w:line="270"/>
      </w:pPr>
      <w:r>
        <w:rPr>
          <w:rFonts w:ascii="Calibri" w:cs="Calibri" w:eastAsia="Calibri" w:hAnsi="Calibri"/>
          <w:color w:val="1A1A1A"/>
          <w:sz w:val="21"/>
          <w:szCs w:val="21"/>
        </w:rPr>
        <w:t xml:space="preserve">Enforce the beneficiary allocation rule at the beneficiary step and again at submission. An application currently reaches underwriting with part of the benefit unassigned.</w:t>
      </w:r>
    </w:p>
    <w:p>
      <w:pPr>
        <w:pStyle w:val="ListParagraph"/>
        <w:numPr>
          <w:ilvl w:val="0"/>
          <w:numId w:val="2"/>
        </w:numPr>
        <w:spacing w:after="80" w:line="270"/>
      </w:pPr>
      <w:r>
        <w:rPr>
          <w:rFonts w:ascii="Calibri" w:cs="Calibri" w:eastAsia="Calibri" w:hAnsi="Calibri"/>
          <w:color w:val="1A1A1A"/>
          <w:sz w:val="21"/>
          <w:szCs w:val="21"/>
        </w:rPr>
        <w:t xml:space="preserve">Apply the eligible age range at purchase. The values already exist in the data model and are shown to the customer; they are simply not checked.</w:t>
      </w:r>
    </w:p>
    <w:p>
      <w:pPr>
        <w:pStyle w:val="ListParagraph"/>
        <w:numPr>
          <w:ilvl w:val="0"/>
          <w:numId w:val="2"/>
        </w:numPr>
        <w:spacing w:after="80" w:line="270"/>
      </w:pPr>
      <w:r>
        <w:rPr>
          <w:rFonts w:ascii="Calibri" w:cs="Calibri" w:eastAsia="Calibri" w:hAnsi="Calibri"/>
          <w:color w:val="1A1A1A"/>
          <w:sz w:val="21"/>
          <w:szCs w:val="21"/>
        </w:rPr>
        <w:t xml:space="preserve">Make the wizard Continue controls validated submissions rather than navigation links, so that a step is checked where the data is entered rather than only at the end.</w:t>
      </w:r>
    </w:p>
    <w:p>
      <w:pPr>
        <w:pStyle w:val="ListParagraph"/>
        <w:numPr>
          <w:ilvl w:val="0"/>
          <w:numId w:val="2"/>
        </w:numPr>
        <w:spacing w:after="80" w:line="270"/>
      </w:pPr>
      <w:r>
        <w:rPr>
          <w:rFonts w:ascii="Calibri" w:cs="Calibri" w:eastAsia="Calibri" w:hAnsi="Calibri"/>
          <w:color w:val="1A1A1A"/>
          <w:sz w:val="21"/>
          <w:szCs w:val="21"/>
        </w:rPr>
        <w:t xml:space="preserve">Correct the age calculation and add a test at the eligibility boundary, since an off-by-one there changes the outcome.</w:t>
      </w:r>
    </w:p>
    <w:p>
      <w:pPr>
        <w:spacing w:after="80" w:before="220"/>
      </w:pPr>
      <w:r>
        <w:rPr>
          <w:rFonts w:ascii="Calibri" w:cs="Calibri" w:eastAsia="Calibri" w:hAnsi="Calibri"/>
          <w:b/>
          <w:bCs/>
          <w:caps/>
          <w:color w:val="B5522B"/>
          <w:spacing w:val="24"/>
          <w:sz w:val="21"/>
          <w:szCs w:val="21"/>
        </w:rPr>
        <w:t xml:space="preserve">For the test suite</w:t>
      </w:r>
    </w:p>
    <w:p>
      <w:pPr>
        <w:pStyle w:val="ListParagraph"/>
        <w:numPr>
          <w:ilvl w:val="0"/>
          <w:numId w:val="2"/>
        </w:numPr>
        <w:spacing w:after="80" w:line="270"/>
      </w:pPr>
      <w:r>
        <w:rPr>
          <w:rFonts w:ascii="Calibri" w:cs="Calibri" w:eastAsia="Calibri" w:hAnsi="Calibri"/>
          <w:color w:val="1A1A1A"/>
          <w:sz w:val="21"/>
          <w:szCs w:val="21"/>
        </w:rPr>
        <w:t xml:space="preserve">Create a fresh draft per Order Entry test instead of sharing fixed application ids. That removes the order dependency and the two skips.</w:t>
      </w:r>
    </w:p>
    <w:p>
      <w:pPr>
        <w:pStyle w:val="ListParagraph"/>
        <w:numPr>
          <w:ilvl w:val="0"/>
          <w:numId w:val="2"/>
        </w:numPr>
        <w:spacing w:after="80" w:line="270"/>
      </w:pPr>
      <w:r>
        <w:rPr>
          <w:rFonts w:ascii="Calibri" w:cs="Calibri" w:eastAsia="Calibri" w:hAnsi="Calibri"/>
          <w:color w:val="1A1A1A"/>
          <w:sz w:val="21"/>
          <w:szCs w:val="21"/>
        </w:rPr>
        <w:t xml:space="preserve">Extend Order Entry coverage to the full wizard once drafts are created per test, since that is what makes an end to end journey practical.</w:t>
      </w:r>
    </w:p>
    <w:p>
      <w:pPr>
        <w:pStyle w:val="ListParagraph"/>
        <w:numPr>
          <w:ilvl w:val="0"/>
          <w:numId w:val="2"/>
        </w:numPr>
        <w:spacing w:after="80" w:line="270"/>
      </w:pPr>
      <w:r>
        <w:rPr>
          <w:rFonts w:ascii="Calibri" w:cs="Calibri" w:eastAsia="Calibri" w:hAnsi="Calibri"/>
          <w:color w:val="1A1A1A"/>
          <w:sz w:val="21"/>
          <w:szCs w:val="21"/>
        </w:rPr>
        <w:t xml:space="preserve">Add database verification if credentials become available, particularly to confirm that a transaction is linked to the order or policy it came from.</w:t>
      </w:r>
    </w:p>
    <w:p>
      <w:pPr>
        <w:spacing w:after="80" w:before="220"/>
      </w:pPr>
      <w:r>
        <w:rPr>
          <w:rFonts w:ascii="Calibri" w:cs="Calibri" w:eastAsia="Calibri" w:hAnsi="Calibri"/>
          <w:b/>
          <w:bCs/>
          <w:caps/>
          <w:color w:val="B5522B"/>
          <w:spacing w:val="24"/>
          <w:sz w:val="21"/>
          <w:szCs w:val="21"/>
        </w:rPr>
        <w:t xml:space="preserve">For the next cycle</w:t>
      </w:r>
    </w:p>
    <w:p>
      <w:pPr>
        <w:pStyle w:val="ListParagraph"/>
        <w:numPr>
          <w:ilvl w:val="0"/>
          <w:numId w:val="2"/>
        </w:numPr>
        <w:spacing w:after="80" w:line="270"/>
      </w:pPr>
      <w:r>
        <w:rPr>
          <w:rFonts w:ascii="Calibri" w:cs="Calibri" w:eastAsia="Calibri" w:hAnsi="Calibri"/>
          <w:color w:val="1A1A1A"/>
          <w:sz w:val="21"/>
          <w:szCs w:val="21"/>
        </w:rPr>
        <w:t xml:space="preserve">Request the Seeded Defect Catalog so that discovery can be measured against what was actually planted.</w:t>
      </w:r>
    </w:p>
    <w:p>
      <w:pPr>
        <w:pStyle w:val="ListParagraph"/>
        <w:numPr>
          <w:ilvl w:val="0"/>
          <w:numId w:val="2"/>
        </w:numPr>
        <w:spacing w:after="80" w:line="270"/>
      </w:pPr>
      <w:r>
        <w:rPr>
          <w:rFonts w:ascii="Calibri" w:cs="Calibri" w:eastAsia="Calibri" w:hAnsi="Calibri"/>
          <w:color w:val="1A1A1A"/>
          <w:sz w:val="21"/>
          <w:szCs w:val="21"/>
        </w:rPr>
        <w:t xml:space="preserve">Record which defect batch is active at the start of a session, given that behaviour changes within one.</w:t>
      </w:r>
    </w:p>
    <w:p>
      <w:pPr>
        <w:pStyle w:val="ListParagraph"/>
        <w:numPr>
          <w:ilvl w:val="0"/>
          <w:numId w:val="2"/>
        </w:numPr>
        <w:spacing w:after="80" w:line="270"/>
      </w:pPr>
      <w:r>
        <w:rPr>
          <w:rFonts w:ascii="Calibri" w:cs="Calibri" w:eastAsia="Calibri" w:hAnsi="Calibri"/>
          <w:color w:val="1A1A1A"/>
          <w:sz w:val="21"/>
          <w:szCs w:val="21"/>
        </w:rPr>
        <w:t xml:space="preserve">Re-run the full suite after any environment change. Two defects behaved differently across runs with no change to the code.</w:t>
      </w:r>
    </w:p>
    <w:sectPr>
      <w:footerReference w:type="default" r:id="rId7"/>
      <w:pgSz w:w="12240" w:h="15840" w:orient="portrait"/>
      <w:pgMar w:top="1300" w:right="1400" w:bottom="115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A80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2026-09-03T19:37:33.972Z</dcterms:created>
  <dcterms:modified xsi:type="dcterms:W3CDTF">2026-09-03T19:37:33.990Z</dcterms:modified>
</cp:coreProperties>
</file>

<file path=docProps/custom.xml><?xml version="1.0" encoding="utf-8"?>
<Properties xmlns="http://schemas.openxmlformats.org/officeDocument/2006/custom-properties" xmlns:vt="http://schemas.openxmlformats.org/officeDocument/2006/docPropsVTypes"/>
</file>