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aps/>
          <w:color w:val="B5522B"/>
          <w:spacing w:val="40"/>
          <w:sz w:val="18"/>
          <w:szCs w:val="18"/>
        </w:rPr>
        <w:t xml:space="preserve">Assignment 3  ·  Summary</w:t>
      </w:r>
    </w:p>
    <w:p>
      <w:pPr>
        <w:spacing w:after="160"/>
      </w:pPr>
      <w:r>
        <w:rPr>
          <w:rFonts w:ascii="Georgia" w:cs="Georgia" w:eastAsia="Georgia" w:hAnsi="Georgia"/>
          <w:color w:val="1A1A1A"/>
          <w:sz w:val="40"/>
          <w:szCs w:val="40"/>
        </w:rPr>
        <w:t xml:space="preserve">Final QA Summary</w:t>
      </w:r>
    </w:p>
    <w:p>
      <w:pPr>
        <w:spacing w:after="340" w:line="300"/>
      </w:pPr>
      <w:r>
        <w:rPr>
          <w:rFonts w:ascii="Calibri" w:cs="Calibri" w:eastAsia="Calibri" w:hAnsi="Calibri"/>
          <w:i/>
          <w:iCs/>
          <w:color w:val="8A8073"/>
          <w:sz w:val="22"/>
          <w:szCs w:val="22"/>
        </w:rPr>
        <w:t xml:space="preserve">Where the two applications stand, and what would need to be fixed before a release.</w:t>
      </w:r>
    </w:p>
    <w:p>
      <w:pPr>
        <w:pBdr>
          <w:bottom w:val="single" w:color="B5522B" w:sz="6" w:space="8"/>
        </w:pBdr>
        <w:spacing w:after="60" w:before="340"/>
      </w:pPr>
      <w:r>
        <w:rPr>
          <w:rFonts w:ascii="Georgia" w:cs="Georgia" w:eastAsia="Georgia" w:hAnsi="Georgia"/>
          <w:color w:val="1A1A1A"/>
          <w:sz w:val="26"/>
          <w:szCs w:val="26"/>
        </w:rPr>
        <w:t xml:space="preserve">The short version</w:t>
      </w:r>
    </w:p>
    <w:p>
      <w:pPr>
        <w:spacing w:after="150" w:line="280"/>
      </w:pPr>
      <w:r>
        <w:rPr>
          <w:rFonts w:ascii="Calibri" w:cs="Calibri" w:eastAsia="Calibri" w:hAnsi="Calibri"/>
          <w:color w:val="1A1A1A"/>
          <w:sz w:val="21"/>
          <w:szCs w:val="21"/>
        </w:rPr>
        <w:t xml:space="preserve">Fifty-three automated tests were built across both applications and run against the lab environment. Forty-three passed. Eight failed, and each of those traces to a confirmed defect in the application rather than a fault in the test. Two were skipped because the shared test data no longer met their preconditions.</w:t>
      </w:r>
    </w:p>
    <w:p>
      <w:pPr>
        <w:spacing w:after="150" w:line="280"/>
      </w:pPr>
      <w:r>
        <w:rPr>
          <w:rFonts w:ascii="Calibri" w:cs="Calibri" w:eastAsia="Calibri" w:hAnsi="Calibri"/>
          <w:color w:val="1A1A1A"/>
          <w:sz w:val="21"/>
          <w:szCs w:val="21"/>
        </w:rPr>
        <w:t xml:space="preserve">Six defects were confirmed. Four are high severity. Two of them concern money or cover being wrong rather than merely displayed oddly, and one allows an application to enter underwriting in a state that would cause a dispute at claim time.</w:t>
      </w:r>
    </w:p>
    <w:p>
      <w:pPr>
        <w:spacing w:after="150" w:line="280"/>
      </w:pPr>
      <w:r>
        <w:rPr>
          <w:rFonts w:ascii="Calibri" w:cs="Calibri" w:eastAsia="Calibri" w:hAnsi="Calibri"/>
          <w:color w:val="1A1A1A"/>
          <w:sz w:val="21"/>
          <w:szCs w:val="21"/>
        </w:rPr>
        <w:t xml:space="preserve">My view is that neither application is ready for release as it stands. Three of the four high severity defects are single rules that exist in the data and are shown on screen but are never applied, which suggests they would not be difficult to fix.</w:t>
      </w:r>
    </w:p>
    <w:p>
      <w:pPr>
        <w:pBdr>
          <w:bottom w:val="single" w:color="B5522B" w:sz="6" w:space="8"/>
        </w:pBdr>
        <w:spacing w:after="60" w:before="340"/>
      </w:pPr>
      <w:r>
        <w:rPr>
          <w:rFonts w:ascii="Georgia" w:cs="Georgia" w:eastAsia="Georgia" w:hAnsi="Georgia"/>
          <w:color w:val="1A1A1A"/>
          <w:sz w:val="26"/>
          <w:szCs w:val="26"/>
        </w:rPr>
        <w:t xml:space="preserve">What was found</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1400"/>
        <w:gridCol w:w="4400"/>
        <w:gridCol w:w="1400"/>
        <w:gridCol w:w="2000"/>
      </w:tblGrid>
      <w:tr>
        <w:trPr>
          <w:tblHeader/>
        </w:trPr>
        <w:tc>
          <w:tcPr>
            <w:tcW w:type="dxa" w:w="14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ID</w:t>
            </w:r>
          </w:p>
        </w:tc>
        <w:tc>
          <w:tcPr>
            <w:tcW w:type="dxa" w:w="44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Defect</w:t>
            </w:r>
          </w:p>
        </w:tc>
        <w:tc>
          <w:tcPr>
            <w:tcW w:type="dxa" w:w="14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Severity</w:t>
            </w:r>
          </w:p>
        </w:tc>
        <w:tc>
          <w:tcPr>
            <w:tcW w:type="dxa" w:w="20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Application</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DEF-01</w:t>
            </w:r>
          </w:p>
        </w:tc>
        <w:tc>
          <w:tcPr>
            <w:tcW w:type="dxa" w:w="4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Portfolio API reports a total 999.00 higher than the sum of its own holdings</w:t>
            </w:r>
          </w:p>
        </w:tc>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High</w:t>
            </w:r>
          </w:p>
        </w:tc>
        <w:tc>
          <w:tcPr>
            <w:tcW w:type="dxa" w:w="2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FinServe</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DEF-02</w:t>
            </w:r>
          </w:p>
        </w:tc>
        <w:tc>
          <w:tcPr>
            <w:tcW w:type="dxa" w:w="4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Failed payment transaction displayed as SUCCESS</w:t>
            </w:r>
          </w:p>
        </w:tc>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High</w:t>
            </w:r>
          </w:p>
        </w:tc>
        <w:tc>
          <w:tcPr>
            <w:tcW w:type="dxa" w:w="2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FinServe</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DEF-03</w:t>
            </w:r>
          </w:p>
        </w:tc>
        <w:tc>
          <w:tcPr>
            <w:tcW w:type="dxa" w:w="4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Insurance eligible age range published but not enforced</w:t>
            </w:r>
          </w:p>
        </w:tc>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High</w:t>
            </w:r>
          </w:p>
        </w:tc>
        <w:tc>
          <w:tcPr>
            <w:tcW w:type="dxa" w:w="2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FinServe</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DEF-05</w:t>
            </w:r>
          </w:p>
        </w:tc>
        <w:tc>
          <w:tcPr>
            <w:tcW w:type="dxa" w:w="4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Beneficiary allocation below 100% never validated; application submitted</w:t>
            </w:r>
          </w:p>
        </w:tc>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High</w:t>
            </w:r>
          </w:p>
        </w:tc>
        <w:tc>
          <w:tcPr>
            <w:tcW w:type="dxa" w:w="2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Order Entry</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DEF-04</w:t>
            </w:r>
          </w:p>
        </w:tc>
        <w:tc>
          <w:tcPr>
            <w:tcW w:type="dxa" w:w="4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Wizard Continue controls bypass step validation</w:t>
            </w:r>
          </w:p>
        </w:tc>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Medium</w:t>
            </w:r>
          </w:p>
        </w:tc>
        <w:tc>
          <w:tcPr>
            <w:tcW w:type="dxa" w:w="2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Order Entry</w:t>
            </w:r>
          </w:p>
        </w:tc>
      </w:tr>
      <w:tr>
        <w:trPr>
          <w:tblHeader w:val="false"/>
        </w:trPr>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DEF-06</w:t>
            </w:r>
          </w:p>
        </w:tc>
        <w:tc>
          <w:tcPr>
            <w:tcW w:type="dxa" w:w="4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Calculated age one year higher than the date of birth implies</w:t>
            </w:r>
          </w:p>
        </w:tc>
        <w:tc>
          <w:tcPr>
            <w:tcW w:type="dxa" w:w="1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Medium</w:t>
            </w:r>
          </w:p>
        </w:tc>
        <w:tc>
          <w:tcPr>
            <w:tcW w:type="dxa" w:w="2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Order Entry</w:t>
            </w:r>
          </w:p>
        </w:tc>
      </w:tr>
    </w:tbl>
    <w:p>
      <w:pPr>
        <w:pBdr>
          <w:bottom w:val="single" w:color="B5522B" w:sz="6" w:space="8"/>
        </w:pBdr>
        <w:spacing w:after="60" w:before="340"/>
      </w:pPr>
      <w:r>
        <w:rPr>
          <w:rFonts w:ascii="Georgia" w:cs="Georgia" w:eastAsia="Georgia" w:hAnsi="Georgia"/>
          <w:color w:val="1A1A1A"/>
          <w:sz w:val="26"/>
          <w:szCs w:val="26"/>
        </w:rPr>
        <w:t xml:space="preserve">Why these matter</w:t>
      </w:r>
    </w:p>
    <w:p>
      <w:pPr>
        <w:spacing w:after="150" w:line="280"/>
      </w:pPr>
      <w:r>
        <w:rPr>
          <w:rFonts w:ascii="Calibri" w:cs="Calibri" w:eastAsia="Calibri" w:hAnsi="Calibri"/>
          <w:color w:val="1A1A1A"/>
          <w:sz w:val="21"/>
          <w:szCs w:val="21"/>
        </w:rPr>
        <w:t xml:space="preserve">Three of the four high severity defects share a shape: a rule that the application holds in its data, displays to the user, and then does not apply.</w:t>
      </w:r>
    </w:p>
    <w:p>
      <w:pPr>
        <w:pBdr>
          <w:left w:val="single" w:color="F0E7DC" w:sz="12" w:space="12"/>
        </w:pBdr>
        <w:spacing w:after="110" w:before="140" w:line="280"/>
        <w:ind w:left="300"/>
      </w:pPr>
      <w:r>
        <w:rPr>
          <w:rFonts w:ascii="Georgia" w:cs="Georgia" w:eastAsia="Georgia" w:hAnsi="Georgia"/>
          <w:i/>
          <w:iCs/>
          <w:color w:val="1A1A1A"/>
          <w:sz w:val="21"/>
          <w:szCs w:val="21"/>
        </w:rPr>
        <w:t xml:space="preserve">The insurance product page states an eligible age of 18 to 55. A seventeen year old completed a purchase and holds an active policy.</w:t>
      </w:r>
    </w:p>
    <w:p>
      <w:pPr>
        <w:spacing w:after="150" w:line="280"/>
      </w:pPr>
      <w:r>
        <w:rPr>
          <w:rFonts w:ascii="Calibri" w:cs="Calibri" w:eastAsia="Calibri" w:hAnsi="Calibri"/>
          <w:color w:val="1A1A1A"/>
          <w:sz w:val="21"/>
          <w:szCs w:val="21"/>
        </w:rPr>
        <w:t xml:space="preserve">A policy sold to a minor is not a binding contract. Premiums would be collected for cover that could be void at the point it is needed. The same pattern appears in the beneficiary allocation rule, where an application was submitted with forty percent of the death benefit unassigned, and validation reported no problems at all.</w:t>
      </w:r>
    </w:p>
    <w:p>
      <w:pPr>
        <w:spacing w:after="150" w:line="280"/>
      </w:pPr>
      <w:r>
        <w:rPr>
          <w:rFonts w:ascii="Calibri" w:cs="Calibri" w:eastAsia="Calibri" w:hAnsi="Calibri"/>
          <w:color w:val="1A1A1A"/>
          <w:sz w:val="21"/>
          <w:szCs w:val="21"/>
        </w:rPr>
        <w:t xml:space="preserve">The portfolio defect is different in kind. The website shows the correct figure, so nothing is visible to a customer using the site. The API returns a total that is 999.00 too high, and it returns the correct sum in the same response. Any system reading that API receives an inflated figure while the website shows the true one. A tester working only through the interface would have passed this as working.</w:t>
      </w:r>
    </w:p>
    <w:p>
      <w:pPr>
        <w:pBdr>
          <w:bottom w:val="single" w:color="B5522B" w:sz="6" w:space="8"/>
        </w:pBdr>
        <w:spacing w:after="60" w:before="340"/>
      </w:pPr>
      <w:r>
        <w:rPr>
          <w:rFonts w:ascii="Georgia" w:cs="Georgia" w:eastAsia="Georgia" w:hAnsi="Georgia"/>
          <w:color w:val="1A1A1A"/>
          <w:sz w:val="26"/>
          <w:szCs w:val="26"/>
        </w:rPr>
        <w:t xml:space="preserve">What was checked and found sound</w:t>
      </w:r>
    </w:p>
    <w:p>
      <w:pPr>
        <w:spacing w:after="150" w:line="280"/>
      </w:pPr>
      <w:r>
        <w:rPr>
          <w:rFonts w:ascii="Calibri" w:cs="Calibri" w:eastAsia="Calibri" w:hAnsi="Calibri"/>
          <w:color w:val="1A1A1A"/>
          <w:sz w:val="21"/>
          <w:szCs w:val="21"/>
        </w:rPr>
        <w:t xml:space="preserve">Ten of the thirteen issue types named in the problem statement did not reproduce. Login handling, invalid credential messaging, dashboard refresh after a transaction, fund filtering and search, minimum investment enforcement, redemption limits, premium consistency, mandatory field validation, transaction history completeness and cross-browser filter behaviour were all tested and behaved correctly.</w:t>
      </w:r>
    </w:p>
    <w:p>
      <w:pPr>
        <w:spacing w:after="150" w:line="280"/>
      </w:pPr>
      <w:r>
        <w:rPr>
          <w:rFonts w:ascii="Calibri" w:cs="Calibri" w:eastAsia="Calibri" w:hAnsi="Calibri"/>
          <w:color w:val="1A1A1A"/>
          <w:sz w:val="21"/>
          <w:szCs w:val="21"/>
        </w:rPr>
        <w:t xml:space="preserve">Data masking on the customer profile also holds, including in the page source rather than only on screen. Submission gating in Order Entry works: an application with blocking errors cannot be submitted, and the button is correctly disabled.</w:t>
      </w:r>
    </w:p>
    <w:p>
      <w:pPr>
        <w:spacing w:after="150" w:line="280"/>
      </w:pPr>
      <w:r>
        <w:rPr>
          <w:rFonts w:ascii="Calibri" w:cs="Calibri" w:eastAsia="Calibri" w:hAnsi="Calibri"/>
          <w:color w:val="1A1A1A"/>
          <w:sz w:val="21"/>
          <w:szCs w:val="21"/>
        </w:rPr>
        <w:t xml:space="preserve">Those results matter as much as the defects. They are covered by tests that remain in place, so a regression in any of them would now be caught.</w:t>
      </w:r>
    </w:p>
    <w:p>
      <w:pPr>
        <w:pBdr>
          <w:bottom w:val="single" w:color="B5522B" w:sz="6" w:space="8"/>
        </w:pBdr>
        <w:spacing w:after="60" w:before="340"/>
      </w:pPr>
      <w:r>
        <w:rPr>
          <w:rFonts w:ascii="Georgia" w:cs="Georgia" w:eastAsia="Georgia" w:hAnsi="Georgia"/>
          <w:color w:val="1A1A1A"/>
          <w:sz w:val="26"/>
          <w:szCs w:val="26"/>
        </w:rPr>
        <w:t xml:space="preserve">One thing that complicates all of it</w:t>
      </w:r>
    </w:p>
    <w:p>
      <w:pPr>
        <w:spacing w:after="150" w:line="280"/>
      </w:pPr>
      <w:r>
        <w:rPr>
          <w:rFonts w:ascii="Calibri" w:cs="Calibri" w:eastAsia="Calibri" w:hAnsi="Calibri"/>
          <w:color w:val="1A1A1A"/>
          <w:sz w:val="21"/>
          <w:szCs w:val="21"/>
        </w:rPr>
        <w:t xml:space="preserve">Seeded defects appear to be switched on and off during a session. One defect failed reliably, passed later, failed again and passed in the final run, with no change to the suite. The Order Entry product page carries a flag naming a defect that was disabled when tested. A sum assured issue seen during the study phase did not reproduce during execution.</w:t>
      </w:r>
    </w:p>
    <w:p>
      <w:pPr>
        <w:spacing w:after="150" w:line="280"/>
      </w:pPr>
      <w:r>
        <w:rPr>
          <w:rFonts w:ascii="Calibri" w:cs="Calibri" w:eastAsia="Calibri" w:hAnsi="Calibri"/>
          <w:color w:val="1A1A1A"/>
          <w:sz w:val="21"/>
          <w:szCs w:val="21"/>
        </w:rPr>
        <w:t xml:space="preserve">So this report describes the environment at the time of the run rather than a fixed state. Any retest should begin by establishing which behaviours are currently active.</w:t>
      </w:r>
    </w:p>
    <w:p>
      <w:pPr>
        <w:pBdr>
          <w:bottom w:val="single" w:color="B5522B" w:sz="6" w:space="8"/>
        </w:pBdr>
        <w:spacing w:after="60" w:before="340"/>
      </w:pPr>
      <w:r>
        <w:rPr>
          <w:rFonts w:ascii="Georgia" w:cs="Georgia" w:eastAsia="Georgia" w:hAnsi="Georgia"/>
          <w:color w:val="1A1A1A"/>
          <w:sz w:val="26"/>
          <w:szCs w:val="26"/>
        </w:rPr>
        <w:t xml:space="preserve">What I would do next</w:t>
      </w:r>
    </w:p>
    <w:p>
      <w:pPr>
        <w:pStyle w:val="ListParagraph"/>
        <w:numPr>
          <w:ilvl w:val="0"/>
          <w:numId w:val="2"/>
        </w:numPr>
        <w:spacing w:after="80" w:line="270"/>
      </w:pPr>
      <w:r>
        <w:rPr>
          <w:rFonts w:ascii="Calibri" w:cs="Calibri" w:eastAsia="Calibri" w:hAnsi="Calibri"/>
          <w:color w:val="1A1A1A"/>
          <w:sz w:val="21"/>
          <w:szCs w:val="21"/>
        </w:rPr>
        <w:t xml:space="preserve">Fix the portfolio total. It is a constant offset and the only defect that misstates a customer’s own money.</w:t>
      </w:r>
    </w:p>
    <w:p>
      <w:pPr>
        <w:pStyle w:val="ListParagraph"/>
        <w:numPr>
          <w:ilvl w:val="0"/>
          <w:numId w:val="2"/>
        </w:numPr>
        <w:spacing w:after="80" w:line="270"/>
      </w:pPr>
      <w:r>
        <w:rPr>
          <w:rFonts w:ascii="Calibri" w:cs="Calibri" w:eastAsia="Calibri" w:hAnsi="Calibri"/>
          <w:color w:val="1A1A1A"/>
          <w:sz w:val="21"/>
          <w:szCs w:val="21"/>
        </w:rPr>
        <w:t xml:space="preserve">Enforce the beneficiary allocation rule before anything else in Order Entry. An application currently reaches underwriting incomplete.</w:t>
      </w:r>
    </w:p>
    <w:p>
      <w:pPr>
        <w:pStyle w:val="ListParagraph"/>
        <w:numPr>
          <w:ilvl w:val="0"/>
          <w:numId w:val="2"/>
        </w:numPr>
        <w:spacing w:after="80" w:line="270"/>
      </w:pPr>
      <w:r>
        <w:rPr>
          <w:rFonts w:ascii="Calibri" w:cs="Calibri" w:eastAsia="Calibri" w:hAnsi="Calibri"/>
          <w:color w:val="1A1A1A"/>
          <w:sz w:val="21"/>
          <w:szCs w:val="21"/>
        </w:rPr>
        <w:t xml:space="preserve">Apply the eligible age range at purchase, using values the system already holds.</w:t>
      </w:r>
    </w:p>
    <w:p>
      <w:pPr>
        <w:pStyle w:val="ListParagraph"/>
        <w:numPr>
          <w:ilvl w:val="0"/>
          <w:numId w:val="2"/>
        </w:numPr>
        <w:spacing w:after="80" w:line="270"/>
      </w:pPr>
      <w:r>
        <w:rPr>
          <w:rFonts w:ascii="Calibri" w:cs="Calibri" w:eastAsia="Calibri" w:hAnsi="Calibri"/>
          <w:color w:val="1A1A1A"/>
          <w:sz w:val="21"/>
          <w:szCs w:val="21"/>
        </w:rPr>
        <w:t xml:space="preserve">Change the wizard Continue controls to validated submissions so that each step is checked where the data is entered.</w:t>
      </w:r>
    </w:p>
    <w:p>
      <w:pPr>
        <w:pStyle w:val="ListParagraph"/>
        <w:numPr>
          <w:ilvl w:val="0"/>
          <w:numId w:val="2"/>
        </w:numPr>
        <w:spacing w:after="80" w:line="270"/>
      </w:pPr>
      <w:r>
        <w:rPr>
          <w:rFonts w:ascii="Calibri" w:cs="Calibri" w:eastAsia="Calibri" w:hAnsi="Calibri"/>
          <w:color w:val="1A1A1A"/>
          <w:sz w:val="21"/>
          <w:szCs w:val="21"/>
        </w:rPr>
        <w:t xml:space="preserve">Re-run the full suite after each fix. Every defect above is covered by a test that will turn green on its own when resolved.</w:t>
      </w:r>
    </w:p>
    <w:sectPr>
      <w:footerReference w:type="default" r:id="rId7"/>
      <w:pgSz w:w="12240" w:h="15840" w:orient="portrait"/>
      <w:pgMar w:top="1300" w:right="1400" w:bottom="115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A80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2026-09-03T19:37:34.009Z</dcterms:created>
  <dcterms:modified xsi:type="dcterms:W3CDTF">2026-09-03T19:37:34.009Z</dcterms:modified>
</cp:coreProperties>
</file>

<file path=docProps/custom.xml><?xml version="1.0" encoding="utf-8"?>
<Properties xmlns="http://schemas.openxmlformats.org/officeDocument/2006/custom-properties" xmlns:vt="http://schemas.openxmlformats.org/officeDocument/2006/docPropsVTypes"/>
</file>