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aps/>
          <w:color w:val="B5522B"/>
          <w:spacing w:val="40"/>
          <w:sz w:val="18"/>
          <w:szCs w:val="18"/>
        </w:rPr>
        <w:t xml:space="preserve">Assignment 3  ·  Limitations</w:t>
      </w:r>
    </w:p>
    <w:p>
      <w:pPr>
        <w:spacing w:after="160"/>
      </w:pPr>
      <w:r>
        <w:rPr>
          <w:rFonts w:ascii="Georgia" w:cs="Georgia" w:eastAsia="Georgia" w:hAnsi="Georgia"/>
          <w:color w:val="1A1A1A"/>
          <w:sz w:val="40"/>
          <w:szCs w:val="40"/>
        </w:rPr>
        <w:t xml:space="preserve">Known Limitations and Retest Notes</w:t>
      </w:r>
    </w:p>
    <w:p>
      <w:pPr>
        <w:spacing w:after="340" w:line="300"/>
      </w:pPr>
      <w:r>
        <w:rPr>
          <w:rFonts w:ascii="Calibri" w:cs="Calibri" w:eastAsia="Calibri" w:hAnsi="Calibri"/>
          <w:i/>
          <w:iCs/>
          <w:color w:val="8A8073"/>
          <w:sz w:val="22"/>
          <w:szCs w:val="22"/>
        </w:rPr>
        <w:t xml:space="preserve">What this testing did not cover, what could not be confirmed, and what a retest should do differently.</w:t>
      </w:r>
    </w:p>
    <w:p>
      <w:pPr>
        <w:pBdr>
          <w:bottom w:val="single" w:color="B5522B" w:sz="6" w:space="8"/>
        </w:pBdr>
        <w:spacing w:after="60" w:before="340"/>
      </w:pPr>
      <w:r>
        <w:rPr>
          <w:rFonts w:ascii="Georgia" w:cs="Georgia" w:eastAsia="Georgia" w:hAnsi="Georgia"/>
          <w:color w:val="1A1A1A"/>
          <w:sz w:val="26"/>
          <w:szCs w:val="26"/>
        </w:rPr>
        <w:t xml:space="preserve">Not covered</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3400"/>
        <w:gridCol w:w="5800"/>
      </w:tblGrid>
      <w:tr>
        <w:trPr>
          <w:tblHeader/>
        </w:trPr>
        <w:tc>
          <w:tcPr>
            <w:tcW w:type="dxa" w:w="3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Area</w:t>
            </w:r>
          </w:p>
        </w:tc>
        <w:tc>
          <w:tcPr>
            <w:tcW w:type="dxa" w:w="58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Reason</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The full Order Entry application wizard end to end</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Nine steps, each with its own form. The steps carrying the highest risk were automated instead. The coverage table in the evaluation document is FinServe only, so effort was weighted accordingly</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Riders, address and KYC steps in Order Entry</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Page objects exist but no dedicated tests were written</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Database verification</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No credentials were issued. The documented API was used as the backend layer instead</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 backend verification</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That application has no documented API, so it could only be checked through the interface</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Performance, accessibility and security testing</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Out of scope for this assignment, and unsuitable on a shared training environment</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Support and notification flows in FinServe</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Lower risk than the money-moving journeys, and not reached within the time available</w:t>
            </w:r>
          </w:p>
        </w:tc>
      </w:tr>
    </w:tbl>
    <w:p>
      <w:pPr>
        <w:pBdr>
          <w:bottom w:val="single" w:color="B5522B" w:sz="6" w:space="8"/>
        </w:pBdr>
        <w:spacing w:after="60" w:before="340"/>
      </w:pPr>
      <w:r>
        <w:rPr>
          <w:rFonts w:ascii="Georgia" w:cs="Georgia" w:eastAsia="Georgia" w:hAnsi="Georgia"/>
          <w:color w:val="1A1A1A"/>
          <w:sz w:val="26"/>
          <w:szCs w:val="26"/>
        </w:rPr>
        <w:t xml:space="preserve">Could not be confirmed</w:t>
      </w:r>
    </w:p>
    <w:p>
      <w:pPr>
        <w:pStyle w:val="ListParagraph"/>
        <w:numPr>
          <w:ilvl w:val="0"/>
          <w:numId w:val="2"/>
        </w:numPr>
        <w:spacing w:after="80" w:line="270"/>
      </w:pPr>
      <w:r>
        <w:rPr>
          <w:rFonts w:ascii="Calibri" w:cs="Calibri" w:eastAsia="Calibri" w:hAnsi="Calibri"/>
          <w:color w:val="1A1A1A"/>
          <w:sz w:val="21"/>
          <w:szCs w:val="21"/>
        </w:rPr>
        <w:t xml:space="preserve">Which systems consume the portfolio API field that reports an inflated total. Black-box testing cannot show what reads an endpoint, so the real exposure of that defect is unknown.</w:t>
      </w:r>
    </w:p>
    <w:p>
      <w:pPr>
        <w:pStyle w:val="ListParagraph"/>
        <w:numPr>
          <w:ilvl w:val="0"/>
          <w:numId w:val="2"/>
        </w:numPr>
        <w:spacing w:after="80" w:line="270"/>
      </w:pPr>
      <w:r>
        <w:rPr>
          <w:rFonts w:ascii="Calibri" w:cs="Calibri" w:eastAsia="Calibri" w:hAnsi="Calibri"/>
          <w:color w:val="1A1A1A"/>
          <w:sz w:val="21"/>
          <w:szCs w:val="21"/>
        </w:rPr>
        <w:t xml:space="preserve">Whether the eligible age range is intended to apply to the insured or to the policyholder. The purchase form collects one date of birth and no other age, so the insured is the only sensible reading, but this is not stated anywhere.</w:t>
      </w:r>
    </w:p>
    <w:p>
      <w:pPr>
        <w:pStyle w:val="ListParagraph"/>
        <w:numPr>
          <w:ilvl w:val="0"/>
          <w:numId w:val="2"/>
        </w:numPr>
        <w:spacing w:after="80" w:line="270"/>
      </w:pPr>
      <w:r>
        <w:rPr>
          <w:rFonts w:ascii="Calibri" w:cs="Calibri" w:eastAsia="Calibri" w:hAnsi="Calibri"/>
          <w:color w:val="1A1A1A"/>
          <w:sz w:val="21"/>
          <w:szCs w:val="21"/>
        </w:rPr>
        <w:t xml:space="preserve">Whether the beneficiary allocation rule is intended to be enforced at all. It is displayed as a running total on the beneficiary step, which implies it is, but no documentation states it.</w:t>
      </w:r>
    </w:p>
    <w:p>
      <w:pPr>
        <w:pStyle w:val="ListParagraph"/>
        <w:numPr>
          <w:ilvl w:val="0"/>
          <w:numId w:val="2"/>
        </w:numPr>
        <w:spacing w:after="80" w:line="270"/>
      </w:pPr>
      <w:r>
        <w:rPr>
          <w:rFonts w:ascii="Calibri" w:cs="Calibri" w:eastAsia="Calibri" w:hAnsi="Calibri"/>
          <w:color w:val="1A1A1A"/>
          <w:sz w:val="21"/>
          <w:szCs w:val="21"/>
        </w:rPr>
        <w:t xml:space="preserve">How many seeded defects were planted. The Seeded Defect Catalog is named as an input to this submission but was never provided.</w:t>
      </w:r>
    </w:p>
    <w:p>
      <w:pPr>
        <w:pStyle w:val="ListParagraph"/>
        <w:numPr>
          <w:ilvl w:val="0"/>
          <w:numId w:val="2"/>
        </w:numPr>
        <w:spacing w:after="80" w:line="270"/>
      </w:pPr>
      <w:r>
        <w:rPr>
          <w:rFonts w:ascii="Calibri" w:cs="Calibri" w:eastAsia="Calibri" w:hAnsi="Calibri"/>
          <w:color w:val="1A1A1A"/>
          <w:sz w:val="21"/>
          <w:szCs w:val="21"/>
        </w:rPr>
        <w:t xml:space="preserve">Whether a submitted Order Entry application remains editable. This was raised as a candidate but not tested conclusively.</w:t>
      </w:r>
    </w:p>
    <w:p>
      <w:pPr>
        <w:pBdr>
          <w:bottom w:val="single" w:color="B5522B" w:sz="6" w:space="8"/>
        </w:pBdr>
        <w:spacing w:after="60" w:before="340"/>
      </w:pPr>
      <w:r>
        <w:rPr>
          <w:rFonts w:ascii="Georgia" w:cs="Georgia" w:eastAsia="Georgia" w:hAnsi="Georgia"/>
          <w:color w:val="1A1A1A"/>
          <w:sz w:val="26"/>
          <w:szCs w:val="26"/>
        </w:rPr>
        <w:t xml:space="preserve">Limitations of the suite itself</w:t>
      </w:r>
    </w:p>
    <w:p>
      <w:pPr>
        <w:spacing w:after="80" w:before="220"/>
      </w:pPr>
      <w:r>
        <w:rPr>
          <w:rFonts w:ascii="Calibri" w:cs="Calibri" w:eastAsia="Calibri" w:hAnsi="Calibri"/>
          <w:b/>
          <w:bCs/>
          <w:caps/>
          <w:color w:val="B5522B"/>
          <w:spacing w:val="24"/>
          <w:sz w:val="21"/>
          <w:szCs w:val="21"/>
        </w:rPr>
        <w:t xml:space="preserve">Shared application ids in Order Entry</w:t>
      </w:r>
    </w:p>
    <w:p>
      <w:pPr>
        <w:spacing w:after="150" w:line="280"/>
      </w:pPr>
      <w:r>
        <w:rPr>
          <w:rFonts w:ascii="Calibri" w:cs="Calibri" w:eastAsia="Calibri" w:hAnsi="Calibri"/>
          <w:color w:val="1A1A1A"/>
          <w:sz w:val="21"/>
          <w:szCs w:val="21"/>
        </w:rPr>
        <w:t xml:space="preserve">Order Entry tests reference specific draft applications rather than creating their own. That makes them order dependent: a test can change an application’s state and cause a later test to skip or behave differently. Two tests skipped in the final run for exactly this reason.</w:t>
      </w:r>
    </w:p>
    <w:p>
      <w:pPr>
        <w:spacing w:after="150" w:line="280"/>
      </w:pPr>
      <w:r>
        <w:rPr>
          <w:rFonts w:ascii="Calibri" w:cs="Calibri" w:eastAsia="Calibri" w:hAnsi="Calibri"/>
          <w:color w:val="1A1A1A"/>
          <w:sz w:val="21"/>
          <w:szCs w:val="21"/>
        </w:rPr>
        <w:t xml:space="preserve">The fix is to create a fresh draft inside a fixture and use its id, so each test starts from a known state. This is the single improvement that would most increase confidence in the suite, and it is a prerequisite for automating the full wizard.</w:t>
      </w:r>
    </w:p>
    <w:p>
      <w:pPr>
        <w:spacing w:after="80" w:before="220"/>
      </w:pPr>
      <w:r>
        <w:rPr>
          <w:rFonts w:ascii="Calibri" w:cs="Calibri" w:eastAsia="Calibri" w:hAnsi="Calibri"/>
          <w:b/>
          <w:bCs/>
          <w:caps/>
          <w:color w:val="B5522B"/>
          <w:spacing w:val="24"/>
          <w:sz w:val="21"/>
          <w:szCs w:val="21"/>
        </w:rPr>
        <w:t xml:space="preserve">Shared environment</w:t>
      </w:r>
    </w:p>
    <w:p>
      <w:pPr>
        <w:spacing w:after="150" w:line="280"/>
      </w:pPr>
      <w:r>
        <w:rPr>
          <w:rFonts w:ascii="Calibri" w:cs="Calibri" w:eastAsia="Calibri" w:hAnsi="Calibri"/>
          <w:color w:val="1A1A1A"/>
          <w:sz w:val="21"/>
          <w:szCs w:val="21"/>
        </w:rPr>
        <w:t xml:space="preserve">The applications are shared with other learners and cannot be reset. Assertions therefore check that a value moved by the right amount rather than that it equals a fixed figure. This is correct for the circumstances but weaker than an absolute check would be against a controlled dataset.</w:t>
      </w:r>
    </w:p>
    <w:p>
      <w:pPr>
        <w:spacing w:after="80" w:before="220"/>
      </w:pPr>
      <w:r>
        <w:rPr>
          <w:rFonts w:ascii="Calibri" w:cs="Calibri" w:eastAsia="Calibri" w:hAnsi="Calibri"/>
          <w:b/>
          <w:bCs/>
          <w:caps/>
          <w:color w:val="B5522B"/>
          <w:spacing w:val="24"/>
          <w:sz w:val="21"/>
          <w:szCs w:val="21"/>
        </w:rPr>
        <w:t xml:space="preserve">Two failures that were not defects</w:t>
      </w:r>
    </w:p>
    <w:p>
      <w:pPr>
        <w:spacing w:after="150" w:line="280"/>
      </w:pPr>
      <w:r>
        <w:rPr>
          <w:rFonts w:ascii="Calibri" w:cs="Calibri" w:eastAsia="Calibri" w:hAnsi="Calibri"/>
          <w:color w:val="1A1A1A"/>
          <w:sz w:val="21"/>
          <w:szCs w:val="21"/>
        </w:rPr>
        <w:t xml:space="preserve">One test compared dashboard summary tiles against a table it could not read, because the dashboard and the applications list use different test ids for the same kind of table. Another pointed at an application that had already been submitted and could no longer accept beneficiaries. Both were corrected. They are recorded here because distinguishing them from genuine defects took investigation, and reporting either as an application fault would have undermined the rest of the log.</w:t>
      </w:r>
    </w:p>
    <w:p>
      <w:r>
        <w:br w:type="page"/>
      </w:r>
    </w:p>
    <w:p>
      <w:pPr>
        <w:pBdr>
          <w:bottom w:val="single" w:color="B5522B" w:sz="6" w:space="8"/>
        </w:pBdr>
        <w:spacing w:after="60" w:before="340"/>
      </w:pPr>
      <w:r>
        <w:rPr>
          <w:rFonts w:ascii="Georgia" w:cs="Georgia" w:eastAsia="Georgia" w:hAnsi="Georgia"/>
          <w:color w:val="1A1A1A"/>
          <w:sz w:val="26"/>
          <w:szCs w:val="26"/>
        </w:rPr>
        <w:t xml:space="preserve">Retest notes</w:t>
      </w:r>
    </w:p>
    <w:p>
      <w:pPr>
        <w:spacing w:after="80" w:before="220"/>
      </w:pPr>
      <w:r>
        <w:rPr>
          <w:rFonts w:ascii="Calibri" w:cs="Calibri" w:eastAsia="Calibri" w:hAnsi="Calibri"/>
          <w:b/>
          <w:bCs/>
          <w:caps/>
          <w:color w:val="B5522B"/>
          <w:spacing w:val="24"/>
          <w:sz w:val="21"/>
          <w:szCs w:val="21"/>
        </w:rPr>
        <w:t xml:space="preserve">Establish the active defect set first</w:t>
      </w:r>
    </w:p>
    <w:p>
      <w:pPr>
        <w:spacing w:after="150" w:line="280"/>
      </w:pPr>
      <w:r>
        <w:rPr>
          <w:rFonts w:ascii="Calibri" w:cs="Calibri" w:eastAsia="Calibri" w:hAnsi="Calibri"/>
          <w:color w:val="1A1A1A"/>
          <w:sz w:val="21"/>
          <w:szCs w:val="21"/>
        </w:rPr>
        <w:t xml:space="preserve">Behaviour changed within a single session more than once. Before retesting, run the full suite and record which tests fail, rather than assuming the six defects in the log are all currently active. One is already recorded as not reproducing at the time of the final run.</w:t>
      </w:r>
    </w:p>
    <w:p>
      <w:pPr>
        <w:spacing w:after="80" w:before="220"/>
      </w:pPr>
      <w:r>
        <w:rPr>
          <w:rFonts w:ascii="Calibri" w:cs="Calibri" w:eastAsia="Calibri" w:hAnsi="Calibri"/>
          <w:b/>
          <w:bCs/>
          <w:caps/>
          <w:color w:val="B5522B"/>
          <w:spacing w:val="24"/>
          <w:sz w:val="21"/>
          <w:szCs w:val="21"/>
        </w:rPr>
        <w:t xml:space="preserve">What each defect needs on retest</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1400"/>
        <w:gridCol w:w="7800"/>
      </w:tblGrid>
      <w:tr>
        <w:trPr>
          <w:tblHeader/>
        </w:trPr>
        <w:tc>
          <w:tcPr>
            <w:tcW w:type="dxa" w:w="1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ID</w:t>
            </w:r>
          </w:p>
        </w:tc>
        <w:tc>
          <w:tcPr>
            <w:tcW w:type="dxa" w:w="78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What to check</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DEF-01</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Call the portfolio API and compare reported_portfolio_total against sum_of_holding_values in the same response. Confirm whether the 999.00 offset is still present and still constant across different totals</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DEF-02</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Locate TXN-QA-FAIL-001 in both the API and the transactions screen. This one was not reproducing at the final run, so establish whether it is fixed or simply switched off</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DEF-03</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Attempt a purchase at one year above and one year below the published eligible age range. Both bounds failed previously, so check both</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DEF-04</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From a draft with an empty step, click Continue and confirm whether progress is now blocked</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DEF-05</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Save a beneficiary below 100%, run validation at review, and attempt to submit. All three points failed to enforce the rule previously</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DEF-06</w:t>
            </w:r>
          </w:p>
        </w:tc>
        <w:tc>
          <w:tcPr>
            <w:tcW w:type="dxa" w:w="7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Enter a known date of birth and compare the calculated age against the age as of the retest date. The test computes this rather than hardcoding it, so it remains valid over time</w:t>
            </w:r>
          </w:p>
        </w:tc>
      </w:tr>
    </w:tbl>
    <w:p>
      <w:pPr>
        <w:spacing w:after="180" w:line="280"/>
      </w:pPr>
      <w:r>
        <w:rPr>
          <w:rFonts w:ascii="Calibri" w:cs="Calibri" w:eastAsia="Calibri" w:hAnsi="Calibri"/>
          <w:color w:val="1A1A1A"/>
          <w:sz w:val="21"/>
          <w:szCs w:val="21"/>
        </w:rPr>
        <w:t xml:space="preserve"/>
      </w:r>
    </w:p>
    <w:p>
      <w:pPr>
        <w:spacing w:after="150" w:line="280"/>
      </w:pPr>
      <w:r>
        <w:rPr>
          <w:rFonts w:ascii="Calibri" w:cs="Calibri" w:eastAsia="Calibri" w:hAnsi="Calibri"/>
          <w:color w:val="1A1A1A"/>
          <w:sz w:val="21"/>
          <w:szCs w:val="21"/>
        </w:rPr>
        <w:t xml:space="preserve">Every defect above is covered by at least one test that fails against it. Those tests are left failing on purpose, so a fix turns them green with no change to the suite. Running the suite is therefore sufficient to verify all six.</w:t>
      </w:r>
    </w:p>
    <w:p>
      <w:pPr>
        <w:spacing w:after="80" w:before="220"/>
      </w:pPr>
      <w:r>
        <w:rPr>
          <w:rFonts w:ascii="Calibri" w:cs="Calibri" w:eastAsia="Calibri" w:hAnsi="Calibri"/>
          <w:b/>
          <w:bCs/>
          <w:caps/>
          <w:color w:val="B5522B"/>
          <w:spacing w:val="24"/>
          <w:sz w:val="21"/>
          <w:szCs w:val="21"/>
        </w:rPr>
        <w:t xml:space="preserve">Before the next cycle</w:t>
      </w:r>
    </w:p>
    <w:p>
      <w:pPr>
        <w:pStyle w:val="ListParagraph"/>
        <w:numPr>
          <w:ilvl w:val="0"/>
          <w:numId w:val="2"/>
        </w:numPr>
        <w:spacing w:after="80" w:line="270"/>
      </w:pPr>
      <w:r>
        <w:rPr>
          <w:rFonts w:ascii="Calibri" w:cs="Calibri" w:eastAsia="Calibri" w:hAnsi="Calibri"/>
          <w:color w:val="1A1A1A"/>
          <w:sz w:val="21"/>
          <w:szCs w:val="21"/>
        </w:rPr>
        <w:t xml:space="preserve">Request the Seeded Defect Catalog, so discovery can be measured against what was planted rather than guessed at.</w:t>
      </w:r>
    </w:p>
    <w:p>
      <w:pPr>
        <w:pStyle w:val="ListParagraph"/>
        <w:numPr>
          <w:ilvl w:val="0"/>
          <w:numId w:val="2"/>
        </w:numPr>
        <w:spacing w:after="80" w:line="270"/>
      </w:pPr>
      <w:r>
        <w:rPr>
          <w:rFonts w:ascii="Calibri" w:cs="Calibri" w:eastAsia="Calibri" w:hAnsi="Calibri"/>
          <w:color w:val="1A1A1A"/>
          <w:sz w:val="21"/>
          <w:szCs w:val="21"/>
        </w:rPr>
        <w:t xml:space="preserve">Request database credentials, or confirm that the API is the intended backend layer for this exercise. The guidance in the supplied documents points both ways.</w:t>
      </w:r>
    </w:p>
    <w:p>
      <w:pPr>
        <w:pStyle w:val="ListParagraph"/>
        <w:numPr>
          <w:ilvl w:val="0"/>
          <w:numId w:val="2"/>
        </w:numPr>
        <w:spacing w:after="80" w:line="270"/>
      </w:pPr>
      <w:r>
        <w:rPr>
          <w:rFonts w:ascii="Calibri" w:cs="Calibri" w:eastAsia="Calibri" w:hAnsi="Calibri"/>
          <w:color w:val="1A1A1A"/>
          <w:sz w:val="21"/>
          <w:szCs w:val="21"/>
        </w:rPr>
        <w:t xml:space="preserve">Confirm the intended behaviour for beneficiary allocation and insurance eligibility, so that two of the findings can be stated as rule violations rather than inferred from what the interface displays.</w:t>
      </w:r>
    </w:p>
    <w:sectPr>
      <w:footerReference w:type="default" r:id="rId7"/>
      <w:pgSz w:w="12240" w:h="15840" w:orient="portrait"/>
      <w:pgMar w:top="1300" w:right="1400" w:bottom="11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A80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2026-09-03T19:37:34.017Z</dcterms:created>
  <dcterms:modified xsi:type="dcterms:W3CDTF">2026-09-03T19:37:34.017Z</dcterms:modified>
</cp:coreProperties>
</file>

<file path=docProps/custom.xml><?xml version="1.0" encoding="utf-8"?>
<Properties xmlns="http://schemas.openxmlformats.org/officeDocument/2006/custom-properties" xmlns:vt="http://schemas.openxmlformats.org/officeDocument/2006/docPropsVTypes"/>
</file>