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0B981"/>
          <w:sz w:val="18"/>
        </w:rPr>
        <w:t>INSOUL BIOMECHANICS &amp; SENSOR SYSTEMS</w:t>
      </w:r>
    </w:p>
    <w:p>
      <w:pPr>
        <w:spacing w:after="80"/>
      </w:pPr>
      <w:r>
        <w:rPr>
          <w:rFonts w:ascii="Arial" w:hAnsi="Arial"/>
          <w:b/>
          <w:color w:val="0F172A"/>
          <w:sz w:val="44"/>
        </w:rPr>
        <w:t>Ambulatory Gait Analysis &amp; Biomechanical Algorithms</w:t>
      </w:r>
    </w:p>
    <w:p>
      <w:pPr>
        <w:spacing w:after="360"/>
      </w:pPr>
      <w:r>
        <w:rPr>
          <w:rFonts w:ascii="Arial" w:hAnsi="Arial"/>
          <w:color w:val="64748B"/>
          <w:sz w:val="21"/>
        </w:rPr>
        <w:t>Engineering Reference &amp; Mathematical Foundations: Ground Reaction Force (vGRF), Temporal Sub-Phasing, Bilateral Gait Symmetry, and Inertial Kinematics</w:t>
      </w:r>
    </w:p>
    <w:tbl>
      <w:tblPr>
        <w:tblW w:type="auto" w:w="0"/>
        <w:jc w:val="center"/>
        <w:tblLayout w:type="fixed"/>
        <w:tblLook w:firstColumn="1" w:firstRow="1" w:lastColumn="0" w:lastRow="0" w:noHBand="0" w:noVBand="1" w:val="04A0"/>
      </w:tblPr>
      <w:tblGrid>
        <w:gridCol w:w="3168"/>
        <w:gridCol w:w="3312"/>
        <w:gridCol w:w="3312"/>
      </w:tblGrid>
      <w:tr>
        <w:tc>
          <w:tcPr>
            <w:tcW w:type="dxa" w:w="3168"/>
            <w:shd w:fill="F8FAFC"/>
            <w:tcMar>
              <w:top w:w="100" w:type="dxa"/>
              <w:bottom w:w="100" w:type="dxa"/>
              <w:left w:w="120" w:type="dxa"/>
              <w:right w:w="120" w:type="dxa"/>
            </w:tcMar>
          </w:tcPr>
          <w:p>
            <w:pPr>
              <w:spacing w:after="40"/>
            </w:pPr>
            <w:r>
              <w:rPr>
                <w:rFonts w:ascii="Arial" w:hAnsi="Arial"/>
                <w:b/>
                <w:color w:val="64748B"/>
                <w:sz w:val="16"/>
              </w:rPr>
              <w:t xml:space="preserve">PLATFORM: </w:t>
            </w:r>
            <w:r>
              <w:rPr>
                <w:rFonts w:ascii="Arial" w:hAnsi="Arial"/>
                <w:b/>
                <w:color w:val="065F46"/>
                <w:sz w:val="17"/>
              </w:rPr>
              <w:t>ESP32 + Flutter</w:t>
            </w:r>
          </w:p>
        </w:tc>
        <w:tc>
          <w:tcPr>
            <w:tcW w:type="dxa" w:w="3312"/>
            <w:shd w:fill="F8FAFC"/>
            <w:tcMar>
              <w:top w:w="100" w:type="dxa"/>
              <w:bottom w:w="100" w:type="dxa"/>
              <w:left w:w="120" w:type="dxa"/>
              <w:right w:w="120" w:type="dxa"/>
            </w:tcMar>
          </w:tcPr>
          <w:p>
            <w:pPr>
              <w:spacing w:after="40"/>
            </w:pPr>
            <w:r>
              <w:rPr>
                <w:rFonts w:ascii="Arial" w:hAnsi="Arial"/>
                <w:b/>
                <w:color w:val="64748B"/>
                <w:sz w:val="16"/>
              </w:rPr>
              <w:t xml:space="preserve">SAMPLING RATE: </w:t>
            </w:r>
            <w:r>
              <w:rPr>
                <w:rFonts w:ascii="Arial" w:hAnsi="Arial"/>
                <w:b/>
                <w:color w:val="065F46"/>
                <w:sz w:val="17"/>
              </w:rPr>
              <w:t>50 Hz Real-Time Telemetry</w:t>
            </w:r>
          </w:p>
        </w:tc>
        <w:tc>
          <w:tcPr>
            <w:tcW w:type="dxa" w:w="3312"/>
            <w:shd w:fill="F8FAFC"/>
            <w:tcMar>
              <w:top w:w="100" w:type="dxa"/>
              <w:bottom w:w="100" w:type="dxa"/>
              <w:left w:w="120" w:type="dxa"/>
              <w:right w:w="120" w:type="dxa"/>
            </w:tcMar>
          </w:tcPr>
          <w:p>
            <w:pPr>
              <w:spacing w:after="40"/>
            </w:pPr>
            <w:r>
              <w:rPr>
                <w:rFonts w:ascii="Arial" w:hAnsi="Arial"/>
                <w:b/>
                <w:color w:val="64748B"/>
                <w:sz w:val="16"/>
              </w:rPr>
              <w:t xml:space="preserve">SENSORS: </w:t>
            </w:r>
            <w:r>
              <w:rPr>
                <w:rFonts w:ascii="Arial" w:hAnsi="Arial"/>
                <w:b/>
                <w:color w:val="065F46"/>
                <w:sz w:val="17"/>
              </w:rPr>
              <w:t>Bilateral FSRs + 6-Axis IMU</w:t>
            </w:r>
          </w:p>
        </w:tc>
      </w:tr>
    </w:tbl>
    <w:p>
      <w:pPr>
        <w:spacing w:before="240" w:after="240"/>
      </w:pPr>
    </w:p>
    <w:p>
      <w:pPr>
        <w:keepNext/>
        <w:spacing w:before="320" w:after="120"/>
      </w:pPr>
      <w:r>
        <w:rPr>
          <w:rFonts w:ascii="Arial" w:hAnsi="Arial"/>
          <w:b/>
          <w:color w:val="065F46"/>
          <w:sz w:val="28"/>
        </w:rPr>
        <w:t>1. Apparatus &amp; Sensor Architecture</w:t>
      </w:r>
    </w:p>
    <w:p>
      <w:pPr>
        <w:spacing w:after="80" w:line="276" w:lineRule="auto"/>
      </w:pPr>
      <w:r>
        <w:rPr>
          <w:rFonts w:ascii="Arial" w:hAnsi="Arial"/>
          <w:color w:val="0F172A"/>
          <w:sz w:val="19"/>
        </w:rPr>
        <w:t>The InSoul system operates as an ambulatory, bilateral smart insole telemetry platform communicating over Bluetooth Low Energy (BLE). The sensory architecture captures vertical ground reaction forces and segment kinematic dynamics continuously.</w:t>
      </w:r>
    </w:p>
    <w:p>
      <w:pPr>
        <w:spacing w:after="80" w:line="276" w:lineRule="auto"/>
      </w:pPr>
      <w:r>
        <w:rPr>
          <w:rFonts w:ascii="Arial" w:hAnsi="Arial"/>
          <w:b/>
          <w:color w:val="0F172A"/>
          <w:sz w:val="19"/>
        </w:rPr>
        <w:t>• Heel Force-Sensitive Resistor (F_heel):</w:t>
      </w:r>
      <w:r>
        <w:rPr>
          <w:rFonts w:ascii="Arial" w:hAnsi="Arial"/>
          <w:color w:val="0F172A"/>
          <w:sz w:val="19"/>
        </w:rPr>
        <w:t xml:space="preserve"> Measures shock absorption, initial heel strike contact, and early stance loading response.</w:t>
      </w:r>
    </w:p>
    <w:p>
      <w:pPr>
        <w:spacing w:after="80" w:line="276" w:lineRule="auto"/>
      </w:pPr>
      <w:r>
        <w:rPr>
          <w:rFonts w:ascii="Arial" w:hAnsi="Arial"/>
          <w:b/>
          <w:color w:val="0F172A"/>
          <w:sz w:val="19"/>
        </w:rPr>
        <w:t>• Forefoot / Toe FSR (F_toe):</w:t>
      </w:r>
      <w:r>
        <w:rPr>
          <w:rFonts w:ascii="Arial" w:hAnsi="Arial"/>
          <w:color w:val="0F172A"/>
          <w:sz w:val="19"/>
        </w:rPr>
        <w:t xml:space="preserve"> Measures forefoot weight transfer, terminal stance stability, and propulsive pre-swing push-off.</w:t>
      </w:r>
    </w:p>
    <w:p>
      <w:pPr>
        <w:spacing w:after="80" w:line="276" w:lineRule="auto"/>
      </w:pPr>
      <w:r>
        <w:rPr>
          <w:rFonts w:ascii="Arial" w:hAnsi="Arial"/>
          <w:b/>
          <w:color w:val="0F172A"/>
          <w:sz w:val="19"/>
        </w:rPr>
        <w:t>• Telemetry Sample Rate: 50 Hz.</w:t>
      </w:r>
      <w:r>
        <w:rPr>
          <w:rFonts w:ascii="Arial" w:hAnsi="Arial"/>
          <w:color w:val="0F172A"/>
          <w:sz w:val="19"/>
        </w:rPr>
        <w:t xml:space="preserve"> High-frequency ADC sampling transmitting discrete real-time frames every 20 milliseconds.</w:t>
      </w:r>
    </w:p>
    <w:p>
      <w:pPr>
        <w:spacing w:after="80" w:line="276" w:lineRule="auto"/>
      </w:pPr>
      <w:r>
        <w:rPr>
          <w:rFonts w:ascii="Arial" w:hAnsi="Arial"/>
          <w:b/>
          <w:color w:val="0F172A"/>
          <w:sz w:val="19"/>
        </w:rPr>
        <w:t>• 6-Axis Inertial Measurement Unit (MPU-6050):</w:t>
      </w:r>
      <w:r>
        <w:rPr>
          <w:rFonts w:ascii="Arial" w:hAnsi="Arial"/>
          <w:color w:val="0F172A"/>
          <w:sz w:val="19"/>
        </w:rPr>
        <w:t xml:space="preserve"> 3-axis Accelerometer (±2g dynamic range, sensitivity 16,384 LSB/g) and 3-axis Gyroscope (±250°/s dynamic range, sensitivity 131 LSB/(°/s)).</w:t>
      </w:r>
    </w:p>
    <w:p>
      <w:pPr>
        <w:spacing w:after="80" w:line="276" w:lineRule="auto"/>
      </w:pPr>
      <w:r>
        <w:rPr>
          <w:rFonts w:ascii="Arial" w:hAnsi="Arial"/>
          <w:b/>
          <w:color w:val="0F172A"/>
          <w:sz w:val="19"/>
        </w:rPr>
        <w:t>• Embedded Microcontroller (ESP32):</w:t>
      </w:r>
      <w:r>
        <w:rPr>
          <w:rFonts w:ascii="Arial" w:hAnsi="Arial"/>
          <w:color w:val="0F172A"/>
          <w:sz w:val="19"/>
        </w:rPr>
        <w:t xml:space="preserve"> Dual-core microcontroller executing real-time threshold hysteresis, refractory blanking, transition timing, and JSON BLE notification framing.</w:t>
      </w:r>
    </w:p>
    <w:p>
      <w:pPr>
        <w:keepNext/>
        <w:spacing w:before="320" w:after="120"/>
      </w:pPr>
      <w:r>
        <w:rPr>
          <w:rFonts w:ascii="Arial" w:hAnsi="Arial"/>
          <w:b/>
          <w:color w:val="065F46"/>
          <w:sz w:val="28"/>
        </w:rPr>
        <w:t>2. Sensor Calibration &amp; Force Conversion</w:t>
      </w:r>
    </w:p>
    <w:p>
      <w:pPr>
        <w:keepNext/>
        <w:spacing w:before="200" w:after="80"/>
      </w:pPr>
      <w:r>
        <w:rPr>
          <w:rFonts w:ascii="Arial" w:hAnsi="Arial"/>
          <w:b/>
          <w:color w:val="0F172A"/>
          <w:sz w:val="23"/>
        </w:rPr>
        <w:t>2.1. 12-bit ADC Count to Vertical Force (kg)</w:t>
      </w:r>
    </w:p>
    <w:p>
      <w:pPr>
        <w:spacing w:after="80" w:line="276" w:lineRule="auto"/>
      </w:pPr>
      <w:r>
        <w:rPr>
          <w:rFonts w:ascii="Arial" w:hAnsi="Arial"/>
          <w:color w:val="0F172A"/>
          <w:sz w:val="19"/>
        </w:rPr>
        <w:t>The analog output of each FSR is sampled via a 12-bit voltage divider (0 to 4095 ADC counts). The calibrated transfer function maps raw sensor counts to vertical ground reaction force in kilograms:</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Force_kg = max(0.0, (0.0125 * ADC_raw) - 13.75)</w:t>
            </w:r>
          </w:p>
          <w:p>
            <w:pPr>
              <w:spacing w:after="0"/>
            </w:pPr>
            <w:r>
              <w:rPr>
                <w:rFonts w:ascii="Arial" w:hAnsi="Arial"/>
                <w:i/>
                <w:color w:val="64748B"/>
                <w:sz w:val="17"/>
              </w:rPr>
              <w:t>Note: Sensor counts below 1100 ADC resolve to 0.0 kg, safely zeroing circuit noise, residual mechanical pre-load, and foot-off swing phase.</w:t>
            </w:r>
          </w:p>
        </w:tc>
      </w:tr>
    </w:tbl>
    <w:p>
      <w:pPr>
        <w:spacing w:after="80"/>
      </w:pPr>
    </w:p>
    <w:p>
      <w:pPr>
        <w:keepNext/>
        <w:spacing w:before="200" w:after="80"/>
      </w:pPr>
      <w:r>
        <w:rPr>
          <w:rFonts w:ascii="Arial" w:hAnsi="Arial"/>
          <w:b/>
          <w:color w:val="0F172A"/>
          <w:sz w:val="23"/>
        </w:rPr>
        <w:t>2.2. Superposition of Total Limb Reaction Force</w:t>
      </w:r>
    </w:p>
    <w:p>
      <w:pPr>
        <w:spacing w:after="80" w:line="276" w:lineRule="auto"/>
      </w:pPr>
      <w:r>
        <w:rPr>
          <w:rFonts w:ascii="Arial" w:hAnsi="Arial"/>
          <w:color w:val="0F172A"/>
          <w:sz w:val="19"/>
        </w:rPr>
        <w:t>At any instantaneous discrete time index t, the total vertical ground reaction force exerted by a limb is the sum of its regional heel and forefoot contact points:</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F_total_L(t) = F_heel_L(t) + F_toe_L(t)</w:t>
              <w:br/>
              <w:t>F_total_R(t) = F_heel_R(t) + F_toe_R(t)</w:t>
            </w:r>
          </w:p>
        </w:tc>
      </w:tr>
    </w:tbl>
    <w:p>
      <w:pPr>
        <w:spacing w:after="80"/>
      </w:pPr>
    </w:p>
    <w:p>
      <w:pPr>
        <w:keepNext/>
        <w:spacing w:before="320" w:after="120"/>
      </w:pPr>
      <w:r>
        <w:rPr>
          <w:rFonts w:ascii="Arial" w:hAnsi="Arial"/>
          <w:b/>
          <w:color w:val="065F46"/>
          <w:sz w:val="28"/>
        </w:rPr>
        <w:t>3. Step Detection &amp; Event Filtering</w:t>
      </w:r>
    </w:p>
    <w:p>
      <w:pPr>
        <w:keepNext/>
        <w:spacing w:before="200" w:after="80"/>
      </w:pPr>
      <w:r>
        <w:rPr>
          <w:rFonts w:ascii="Arial" w:hAnsi="Arial"/>
          <w:b/>
          <w:color w:val="0F172A"/>
          <w:sz w:val="23"/>
        </w:rPr>
        <w:t>3.1. Dual-Threshold Schmitt Trigger (Hysteresis)</w:t>
      </w:r>
    </w:p>
    <w:p>
      <w:pPr>
        <w:spacing w:after="80" w:line="276" w:lineRule="auto"/>
      </w:pPr>
      <w:r>
        <w:rPr>
          <w:rFonts w:ascii="Arial" w:hAnsi="Arial"/>
          <w:color w:val="0F172A"/>
          <w:sz w:val="19"/>
        </w:rPr>
        <w:t>To prevent contact chatter, jitter, and double-counting during stance load shifts, foot contact status is governed by a state machine with dual hysteresis thresholds:</w:t>
      </w:r>
    </w:p>
    <w:p>
      <w:pPr>
        <w:spacing w:after="80" w:line="276" w:lineRule="auto"/>
      </w:pPr>
      <w:r>
        <w:rPr>
          <w:rFonts w:ascii="Arial" w:hAnsi="Arial"/>
          <w:b/>
          <w:color w:val="0F172A"/>
          <w:sz w:val="19"/>
        </w:rPr>
        <w:t xml:space="preserve">• Contact Threshold (T_press): </w:t>
      </w:r>
      <w:r>
        <w:rPr>
          <w:rFonts w:ascii="Arial" w:hAnsi="Arial"/>
          <w:color w:val="0F172A"/>
          <w:sz w:val="19"/>
        </w:rPr>
        <w:t>1800 ADC counts (~8.75 kg equivalent force).</w:t>
      </w:r>
    </w:p>
    <w:p>
      <w:pPr>
        <w:spacing w:after="80" w:line="276" w:lineRule="auto"/>
      </w:pPr>
      <w:r>
        <w:rPr>
          <w:rFonts w:ascii="Arial" w:hAnsi="Arial"/>
          <w:b/>
          <w:color w:val="0F172A"/>
          <w:sz w:val="19"/>
        </w:rPr>
        <w:t xml:space="preserve">• Release Threshold (T_release): </w:t>
      </w:r>
      <w:r>
        <w:rPr>
          <w:rFonts w:ascii="Arial" w:hAnsi="Arial"/>
          <w:color w:val="0F172A"/>
          <w:sz w:val="19"/>
        </w:rPr>
        <w:t>1200 ADC counts (~1.25 kg equivalent force).</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State(t) = Pressed,   if ADC(t) &gt; 1800 and State(t-1) == Released</w:t>
              <w:br/>
              <w:t>State(t) = Released,  if ADC(t) &lt;= 1200 and State(t-1) == Pressed</w:t>
              <w:br/>
              <w:t>State(t) = State(t-1), otherwise</w:t>
            </w:r>
          </w:p>
        </w:tc>
      </w:tr>
    </w:tbl>
    <w:p>
      <w:pPr>
        <w:spacing w:after="80"/>
      </w:pPr>
    </w:p>
    <w:p>
      <w:pPr>
        <w:keepNext/>
        <w:spacing w:before="200" w:after="80"/>
      </w:pPr>
      <w:r>
        <w:rPr>
          <w:rFonts w:ascii="Arial" w:hAnsi="Arial"/>
          <w:b/>
          <w:color w:val="0F172A"/>
          <w:sz w:val="23"/>
        </w:rPr>
        <w:t>3.2. Temporal Refractory Blanking Window</w:t>
      </w:r>
    </w:p>
    <w:p>
      <w:pPr>
        <w:spacing w:after="80" w:line="276" w:lineRule="auto"/>
      </w:pPr>
      <w:r>
        <w:rPr>
          <w:rFonts w:ascii="Arial" w:hAnsi="Arial"/>
          <w:color w:val="0F172A"/>
          <w:sz w:val="19"/>
        </w:rPr>
        <w:t>During dynamic gait, high-frequency impact spikes occur upon heel contact. A mandatory refractory blanking interval prevents multiple step triggers for a single stride:</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Delta_t_foot = t_current - t_previous_step &gt;= 300 ms</w:t>
            </w:r>
          </w:p>
        </w:tc>
      </w:tr>
    </w:tbl>
    <w:p>
      <w:pPr>
        <w:spacing w:after="80"/>
      </w:pPr>
    </w:p>
    <w:p>
      <w:pPr>
        <w:keepNext/>
        <w:spacing w:before="200" w:after="80"/>
      </w:pPr>
      <w:r>
        <w:rPr>
          <w:rFonts w:ascii="Arial" w:hAnsi="Arial"/>
          <w:b/>
          <w:color w:val="0F172A"/>
          <w:sz w:val="23"/>
        </w:rPr>
        <w:t>3.3. Bilateral Standing Transition Filter</w:t>
      </w:r>
    </w:p>
    <w:p>
      <w:pPr>
        <w:spacing w:after="80" w:line="276" w:lineRule="auto"/>
      </w:pPr>
      <w:r>
        <w:rPr>
          <w:rFonts w:ascii="Arial" w:hAnsi="Arial"/>
          <w:color w:val="0F172A"/>
          <w:sz w:val="19"/>
        </w:rPr>
        <w:t>When a user stands up or shifts balance while standing, both feet load almost simultaneously. If contralateral heel strike occurs within 150 ms of the ipsilateral strike:</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if (abs(t_heel_L - t_heel_R) &lt;= 150 ms):</w:t>
              <w:br/>
              <w:t xml:space="preserve">    rollback_step_count()</w:t>
              <w:br/>
              <w:t xml:space="preserve">    classify_as_static_double_stance()</w:t>
            </w:r>
          </w:p>
          <w:p>
            <w:pPr>
              <w:spacing w:after="0"/>
            </w:pPr>
            <w:r>
              <w:rPr>
                <w:rFonts w:ascii="Arial" w:hAnsi="Arial"/>
                <w:i/>
                <w:color w:val="64748B"/>
                <w:sz w:val="17"/>
              </w:rPr>
              <w:t>Prevents stationary posture adjustments from polluting dynamic ambulatory step counts.</w:t>
            </w:r>
          </w:p>
        </w:tc>
      </w:tr>
    </w:tbl>
    <w:p>
      <w:pPr>
        <w:spacing w:after="80"/>
      </w:pPr>
    </w:p>
    <w:p>
      <w:pPr>
        <w:keepNext/>
        <w:spacing w:before="320" w:after="120"/>
      </w:pPr>
      <w:r>
        <w:rPr>
          <w:rFonts w:ascii="Arial" w:hAnsi="Arial"/>
          <w:b/>
          <w:color w:val="065F46"/>
          <w:sz w:val="28"/>
        </w:rPr>
        <w:t>4. Temporal Gait Parameters &amp; Cadence</w:t>
      </w:r>
    </w:p>
    <w:p>
      <w:pPr>
        <w:keepNext/>
        <w:spacing w:before="200" w:after="80"/>
      </w:pPr>
      <w:r>
        <w:rPr>
          <w:rFonts w:ascii="Arial" w:hAnsi="Arial"/>
          <w:b/>
          <w:color w:val="0F172A"/>
          <w:sz w:val="23"/>
        </w:rPr>
        <w:t>4.1. Cross-Limb Step Transitions (L -&gt; R and R -&gt; L)</w:t>
      </w:r>
    </w:p>
    <w:p>
      <w:pPr>
        <w:spacing w:after="80" w:line="276" w:lineRule="auto"/>
      </w:pPr>
      <w:r>
        <w:rPr>
          <w:rFonts w:ascii="Arial" w:hAnsi="Arial"/>
          <w:color w:val="0F172A"/>
          <w:sz w:val="19"/>
        </w:rPr>
        <w:t>Individual leg stride durations often remain identical even when an individual limps, because both extremities are locked to the same overall progression speed. True asymmetry manifests in the duration between contralateral strikes:</w:t>
      </w:r>
    </w:p>
    <w:p>
      <w:pPr>
        <w:spacing w:after="80" w:line="276" w:lineRule="auto"/>
      </w:pPr>
      <w:r>
        <w:rPr>
          <w:rFonts w:ascii="Arial" w:hAnsi="Arial"/>
          <w:b/>
          <w:color w:val="0F172A"/>
          <w:sz w:val="19"/>
        </w:rPr>
        <w:t xml:space="preserve">• Left-to-Right Transition (Delta_t_L2R): </w:t>
      </w:r>
      <w:r>
        <w:rPr>
          <w:rFonts w:ascii="Arial" w:hAnsi="Arial"/>
          <w:color w:val="0F172A"/>
          <w:sz w:val="19"/>
        </w:rPr>
        <w:t>Elapsed time from Left foot initial contact (t_L) to Right foot initial contact (t_R).</w:t>
      </w:r>
    </w:p>
    <w:p>
      <w:pPr>
        <w:spacing w:after="80" w:line="276" w:lineRule="auto"/>
      </w:pPr>
      <w:r>
        <w:rPr>
          <w:rFonts w:ascii="Arial" w:hAnsi="Arial"/>
          <w:b/>
          <w:color w:val="0F172A"/>
          <w:sz w:val="19"/>
        </w:rPr>
        <w:t xml:space="preserve">• Right-to-Left Transition (Delta_t_R2L): </w:t>
      </w:r>
      <w:r>
        <w:rPr>
          <w:rFonts w:ascii="Arial" w:hAnsi="Arial"/>
          <w:color w:val="0F172A"/>
          <w:sz w:val="19"/>
        </w:rPr>
        <w:t>Elapsed time from Right foot initial contact (t_R) to Left foot initial contact (t_L).</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avg_L2R = (1 / N) * sum(Delta_t_L2R_k)   for k=1..N (N=5)</w:t>
              <w:br/>
              <w:t>avg_R2L = (1 / N) * sum(Delta_t_R2L_k)   for k=1..N (N=5)</w:t>
            </w:r>
          </w:p>
        </w:tc>
      </w:tr>
    </w:tbl>
    <w:p>
      <w:pPr>
        <w:spacing w:after="80"/>
      </w:pPr>
    </w:p>
    <w:p>
      <w:pPr>
        <w:keepNext/>
        <w:spacing w:before="200" w:after="80"/>
      </w:pPr>
      <w:r>
        <w:rPr>
          <w:rFonts w:ascii="Arial" w:hAnsi="Arial"/>
          <w:b/>
          <w:color w:val="0F172A"/>
          <w:sz w:val="23"/>
        </w:rPr>
        <w:t>4.2. Stride Duration (Gait Cycle Time)</w:t>
      </w:r>
    </w:p>
    <w:p>
      <w:pPr>
        <w:spacing w:after="80" w:line="276" w:lineRule="auto"/>
      </w:pPr>
      <w:r>
        <w:rPr>
          <w:rFonts w:ascii="Arial" w:hAnsi="Arial"/>
          <w:color w:val="0F172A"/>
          <w:sz w:val="19"/>
        </w:rPr>
        <w:t>Mean total stride duration (heel-to-heel duration for the same limb) is the sum of consecutive contralateral transitions:</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Stride_Time_ms = avg_L2R + avg_R2L    [or derived as (120,000 / Cadence)]</w:t>
            </w:r>
          </w:p>
        </w:tc>
      </w:tr>
    </w:tbl>
    <w:p>
      <w:pPr>
        <w:spacing w:after="80"/>
      </w:pPr>
    </w:p>
    <w:p>
      <w:pPr>
        <w:keepNext/>
        <w:spacing w:before="200" w:after="80"/>
      </w:pPr>
      <w:r>
        <w:rPr>
          <w:rFonts w:ascii="Arial" w:hAnsi="Arial"/>
          <w:b/>
          <w:color w:val="0F172A"/>
          <w:sz w:val="23"/>
        </w:rPr>
        <w:t>4.3. Cadence (Steps Per Minute)</w:t>
      </w:r>
    </w:p>
    <w:p>
      <w:pPr>
        <w:spacing w:after="80" w:line="276" w:lineRule="auto"/>
      </w:pPr>
      <w:r>
        <w:rPr>
          <w:rFonts w:ascii="Arial" w:hAnsi="Arial"/>
          <w:color w:val="0F172A"/>
          <w:sz w:val="19"/>
        </w:rPr>
        <w:t>Cadence is computed across standard 10-second evaluation intervals:</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Cadence = clamp(Total_Steps_in_10s * 6, 0, 220) steps/min</w:t>
            </w:r>
          </w:p>
        </w:tc>
      </w:tr>
    </w:tbl>
    <w:p>
      <w:pPr>
        <w:spacing w:after="80"/>
      </w:pPr>
    </w:p>
    <w:p>
      <w:pPr>
        <w:keepNext/>
        <w:spacing w:before="320" w:after="120"/>
      </w:pPr>
      <w:r>
        <w:rPr>
          <w:rFonts w:ascii="Arial" w:hAnsi="Arial"/>
          <w:b/>
          <w:color w:val="065F46"/>
          <w:sz w:val="28"/>
        </w:rPr>
        <w:t>5. Bilateral Symmetry &amp; Clinical Limp Detection</w:t>
      </w:r>
    </w:p>
    <w:p>
      <w:pPr>
        <w:keepNext/>
        <w:spacing w:before="200" w:after="80"/>
      </w:pPr>
      <w:r>
        <w:rPr>
          <w:rFonts w:ascii="Arial" w:hAnsi="Arial"/>
          <w:b/>
          <w:color w:val="0F172A"/>
          <w:sz w:val="23"/>
        </w:rPr>
        <w:t>5.1. Gait Symmetry Index (SI) and Symmetry Score</w:t>
      </w:r>
    </w:p>
    <w:p>
      <w:pPr>
        <w:spacing w:after="80" w:line="276" w:lineRule="auto"/>
      </w:pPr>
      <w:r>
        <w:rPr>
          <w:rFonts w:ascii="Arial" w:hAnsi="Arial"/>
          <w:color w:val="0F172A"/>
          <w:sz w:val="19"/>
        </w:rPr>
        <w:t>The Gait Symmetry Index measures the percentage discrepancy between left-to-right and right-to-left transition times:</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mean_step = (avg_L2R + avg_R2L) / 2.0</w:t>
              <w:br/>
              <w:t>Symmetry_Index (SI) = (abs(avg_L2R - avg_R2L) / mean_step) * 100.0%</w:t>
              <w:br/>
              <w:t>Symmetry_Score (%)  = clamp(100.0 - (SI * 0.5), 0.0, 100.0)</w:t>
            </w:r>
          </w:p>
          <w:p>
            <w:pPr>
              <w:spacing w:after="0"/>
            </w:pPr>
            <w:r>
              <w:rPr>
                <w:rFonts w:ascii="Arial" w:hAnsi="Arial"/>
                <w:i/>
                <w:color w:val="64748B"/>
                <w:sz w:val="17"/>
              </w:rPr>
              <w:t>Normative clinical baseline: 92% to 100% in unimpaired adults. Lower values indicate asymmetric gait or antalgic limping.</w:t>
            </w:r>
          </w:p>
        </w:tc>
      </w:tr>
    </w:tbl>
    <w:p>
      <w:pPr>
        <w:spacing w:after="80"/>
      </w:pPr>
    </w:p>
    <w:p>
      <w:pPr>
        <w:keepNext/>
        <w:spacing w:before="200" w:after="80"/>
      </w:pPr>
      <w:r>
        <w:rPr>
          <w:rFonts w:ascii="Arial" w:hAnsi="Arial"/>
          <w:b/>
          <w:color w:val="0F172A"/>
          <w:sz w:val="23"/>
        </w:rPr>
        <w:t>5.2. Automated Limp Classification</w:t>
      </w:r>
    </w:p>
    <w:p>
      <w:pPr>
        <w:spacing w:after="80" w:line="276" w:lineRule="auto"/>
      </w:pPr>
      <w:r>
        <w:rPr>
          <w:rFonts w:ascii="Arial" w:hAnsi="Arial"/>
          <w:color w:val="0F172A"/>
          <w:sz w:val="19"/>
        </w:rPr>
        <w:t>A clinical limp diagnosis is derived from transition discrepancy delta = avg_L2R - avg_R2L:</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if delta &gt; +40 ms:  classification = 'Left Leg Stance Dominant'</w:t>
              <w:br/>
              <w:t>elif delta &lt; -40 ms: classification = 'Right Leg Stance Dominant'</w:t>
              <w:br/>
              <w:t>else:               classification = 'Good Bilateral Symmetry'</w:t>
            </w:r>
          </w:p>
        </w:tc>
      </w:tr>
    </w:tbl>
    <w:p>
      <w:pPr>
        <w:spacing w:after="80"/>
      </w:pPr>
    </w:p>
    <w:p>
      <w:pPr>
        <w:keepNext/>
        <w:spacing w:before="320" w:after="120"/>
      </w:pPr>
      <w:r>
        <w:rPr>
          <w:rFonts w:ascii="Arial" w:hAnsi="Arial"/>
          <w:b/>
          <w:color w:val="065F46"/>
          <w:sz w:val="28"/>
        </w:rPr>
        <w:t>6. Sub-Phasic Temporal Analysis (Phasogram)</w:t>
      </w:r>
    </w:p>
    <w:p>
      <w:pPr>
        <w:spacing w:after="80" w:line="276" w:lineRule="auto"/>
      </w:pPr>
      <w:r>
        <w:rPr>
          <w:rFonts w:ascii="Arial" w:hAnsi="Arial"/>
          <w:color w:val="0F172A"/>
          <w:sz w:val="19"/>
        </w:rPr>
        <w:t>Standard human walking splits into Stance Phase (~60% of gait cycle) and Swing Phase (~40% of gait cycle), accompanied by periods where both feet are grounded (Double Support, ~20%).</w:t>
      </w:r>
    </w:p>
    <w:p>
      <w:pPr>
        <w:keepNext/>
        <w:spacing w:before="200" w:after="80"/>
      </w:pPr>
      <w:r>
        <w:rPr>
          <w:rFonts w:ascii="Arial" w:hAnsi="Arial"/>
          <w:b/>
          <w:color w:val="0F172A"/>
          <w:sz w:val="23"/>
        </w:rPr>
        <w:t>6.1. Continuous Stance Integration (50 Hz Telemetry)</w:t>
      </w:r>
    </w:p>
    <w:p>
      <w:pPr>
        <w:spacing w:after="80" w:line="276" w:lineRule="auto"/>
      </w:pPr>
      <w:r>
        <w:rPr>
          <w:rFonts w:ascii="Arial" w:hAnsi="Arial"/>
          <w:color w:val="0F172A"/>
          <w:sz w:val="19"/>
        </w:rPr>
        <w:t>For continuous session streams, cumulative active contact durations are integrated:</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Stance_L (%) = clamp((Loaded_Time_L / Total_Session_Time) * 100.0, 45.0, 75.0)</w:t>
              <w:br/>
              <w:t>Stance_R (%) = clamp((Loaded_Time_R / Total_Session_Time) * 100.0, 45.0, 75.0)</w:t>
              <w:br/>
              <w:t>Double_Support (%) = clamp((Both_Loaded_Time / Total_Session_Time) * 100.0, 12.0, 40.0)</w:t>
              <w:br/>
              <w:t>Swing_L (%) = 100.0 - Stance_L (%)</w:t>
              <w:br/>
              <w:t>Swing_R (%) = 100.0 - Stance_R (%)</w:t>
            </w:r>
          </w:p>
        </w:tc>
      </w:tr>
    </w:tbl>
    <w:p>
      <w:pPr>
        <w:spacing w:after="80"/>
      </w:pPr>
    </w:p>
    <w:p>
      <w:pPr>
        <w:keepNext/>
        <w:spacing w:before="320" w:after="120"/>
      </w:pPr>
      <w:r>
        <w:rPr>
          <w:rFonts w:ascii="Arial" w:hAnsi="Arial"/>
          <w:b/>
          <w:color w:val="065F46"/>
          <w:sz w:val="28"/>
        </w:rPr>
        <w:t>7. Dynamic Stability &amp; Fall Risk Stratification</w:t>
      </w:r>
    </w:p>
    <w:p>
      <w:pPr>
        <w:keepNext/>
        <w:spacing w:before="200" w:after="80"/>
      </w:pPr>
      <w:r>
        <w:rPr>
          <w:rFonts w:ascii="Arial" w:hAnsi="Arial"/>
          <w:b/>
          <w:color w:val="0F172A"/>
          <w:sz w:val="23"/>
        </w:rPr>
        <w:t>7.1. Gait Cycle Variability (Coefficient of Variation, CV%)</w:t>
      </w:r>
    </w:p>
    <w:p>
      <w:pPr>
        <w:spacing w:after="80" w:line="276" w:lineRule="auto"/>
      </w:pPr>
      <w:r>
        <w:rPr>
          <w:rFonts w:ascii="Arial" w:hAnsi="Arial"/>
          <w:color w:val="0F172A"/>
          <w:sz w:val="19"/>
        </w:rPr>
        <w:t>Cycle-to-cycle variability is a recognized diagnostic biomarker for dynamic balance control and ataxia:</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CV_gait (%) = clamp((abs(avg_L2R - avg_R2L) / Stride_Time_ms) * 100.0 * 0.55, 1.1, 9.5)</w:t>
            </w:r>
          </w:p>
          <w:p>
            <w:pPr>
              <w:spacing w:after="0"/>
            </w:pPr>
            <w:r>
              <w:rPr>
                <w:rFonts w:ascii="Arial" w:hAnsi="Arial"/>
                <w:i/>
                <w:color w:val="64748B"/>
                <w:sz w:val="17"/>
              </w:rPr>
              <w:t>Healthy physiological baseline: CV &lt; 2.5%. Values above 4.5% reflect balance instability.</w:t>
            </w:r>
          </w:p>
        </w:tc>
      </w:tr>
    </w:tbl>
    <w:p>
      <w:pPr>
        <w:spacing w:after="80"/>
      </w:pPr>
    </w:p>
    <w:p>
      <w:pPr>
        <w:keepNext/>
        <w:spacing w:before="200" w:after="80"/>
      </w:pPr>
      <w:r>
        <w:rPr>
          <w:rFonts w:ascii="Arial" w:hAnsi="Arial"/>
          <w:b/>
          <w:color w:val="0F172A"/>
          <w:sz w:val="23"/>
        </w:rPr>
        <w:t>7.2. Fall Risk &amp; Mobility Evaluation Matrix</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Fall Risk Level:</w:t>
              <w:br/>
              <w:t xml:space="preserve">  'LOW RISK':  CV &lt; 2.5% and Double_Support &lt;= 25.0%</w:t>
              <w:br/>
              <w:t xml:space="preserve">  'MODERATE':  CV &lt;= 4.5% and Double_Support &lt;= 30.0%</w:t>
              <w:br/>
              <w:t xml:space="preserve">  'HIGH RISK': Otherwise</w:t>
              <w:br/>
              <w:br/>
              <w:t>Mobility Status:</w:t>
              <w:br/>
              <w:t xml:space="preserve">  'FLUID &amp; BALANCED':     Symmetry &gt;= 90.0% and CV &lt; 3.0%</w:t>
              <w:br/>
              <w:t xml:space="preserve">  'FUNCTIONAL GAIT':      Symmetry &gt;= 80.0%</w:t>
              <w:br/>
              <w:t xml:space="preserve">  'COMPENSATION OBSERVED': Otherwise</w:t>
            </w:r>
          </w:p>
        </w:tc>
      </w:tr>
    </w:tbl>
    <w:p>
      <w:pPr>
        <w:spacing w:after="80"/>
      </w:pPr>
    </w:p>
    <w:p>
      <w:pPr>
        <w:keepNext/>
        <w:spacing w:before="320" w:after="120"/>
      </w:pPr>
      <w:r>
        <w:rPr>
          <w:rFonts w:ascii="Arial" w:hAnsi="Arial"/>
          <w:b/>
          <w:color w:val="065F46"/>
          <w:sz w:val="28"/>
        </w:rPr>
        <w:t>8. Vertical Ground Reaction Force (vGRF) M-Wave Modeling</w:t>
      </w:r>
    </w:p>
    <w:p>
      <w:pPr>
        <w:spacing w:after="80" w:line="276" w:lineRule="auto"/>
      </w:pPr>
      <w:r>
        <w:rPr>
          <w:rFonts w:ascii="Arial" w:hAnsi="Arial"/>
          <w:color w:val="0F172A"/>
          <w:sz w:val="19"/>
        </w:rPr>
        <w:t>Human vertical ground reaction force follows a characteristic bimodal M-wave: an initial heel-strike shock peak, a midstance unweighting dip, and a terminal propulsive push-off peak.</w:t>
      </w:r>
    </w:p>
    <w:p>
      <w:pPr>
        <w:keepNext/>
        <w:spacing w:before="200" w:after="80"/>
      </w:pPr>
      <w:r>
        <w:rPr>
          <w:rFonts w:ascii="Arial" w:hAnsi="Arial"/>
          <w:b/>
          <w:color w:val="0F172A"/>
          <w:sz w:val="23"/>
        </w:rPr>
        <w:t>8.1. Dual-Gaussian Physiological Model</w:t>
      </w:r>
    </w:p>
    <w:p>
      <w:pPr>
        <w:spacing w:after="80" w:line="276" w:lineRule="auto"/>
      </w:pPr>
      <w:r>
        <w:rPr>
          <w:rFonts w:ascii="Arial" w:hAnsi="Arial"/>
          <w:color w:val="0F172A"/>
          <w:sz w:val="19"/>
        </w:rPr>
        <w:t>For normalized stance progression u in [0.0, 1.0], force is modeled by dual Gaussians constrained by a sinusoidal boundary window W(u) = sin(pi * u):</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W(u) = sin(pi * u)</w:t>
              <w:br/>
              <w:t>Heel_Peak(u) = F_target * 0.95 * exp(-((u - 0.22) / 0.13)^2) * (W(u) / 0.637)</w:t>
              <w:br/>
              <w:t>Toe_Peak(u)  = F_target * 1.02 * exp(-((u - 0.72) / 0.14)^2) * (W(u) / 0.774)</w:t>
              <w:br/>
              <w:t>vGRF_total(u) = max(0.0, Heel_Peak(u) + Toe_Peak(u))</w:t>
            </w:r>
          </w:p>
          <w:p>
            <w:pPr>
              <w:spacing w:after="0"/>
            </w:pPr>
            <w:r>
              <w:rPr>
                <w:rFonts w:ascii="Arial" w:hAnsi="Arial"/>
                <w:i/>
                <w:color w:val="64748B"/>
                <w:sz w:val="17"/>
              </w:rPr>
              <w:t>Heel strike peaks at 22% of stance; forefoot propulsion peaks at 72% of stance.</w:t>
            </w:r>
          </w:p>
        </w:tc>
      </w:tr>
    </w:tbl>
    <w:p>
      <w:pPr>
        <w:spacing w:after="80"/>
      </w:pPr>
    </w:p>
    <w:p>
      <w:pPr>
        <w:keepNext/>
        <w:spacing w:before="200" w:after="80"/>
      </w:pPr>
      <w:r>
        <w:rPr>
          <w:rFonts w:ascii="Arial" w:hAnsi="Arial"/>
          <w:b/>
          <w:color w:val="0F172A"/>
          <w:sz w:val="23"/>
        </w:rPr>
        <w:t>8.2. Bilateral Mirrored Rendering</w:t>
      </w:r>
    </w:p>
    <w:p>
      <w:pPr>
        <w:spacing w:after="80" w:line="276" w:lineRule="auto"/>
      </w:pPr>
      <w:r>
        <w:rPr>
          <w:rFonts w:ascii="Arial" w:hAnsi="Arial"/>
          <w:color w:val="0F172A"/>
          <w:sz w:val="19"/>
        </w:rPr>
        <w:t>InSoul charts render Left Foot upward (+y, Emerald Green) and Right Foot mirrored downward (-y, Amber-Orange), enabling immediate bilateral comparative visualization without trace collision.</w:t>
      </w:r>
    </w:p>
    <w:p>
      <w:pPr>
        <w:keepNext/>
        <w:spacing w:before="200" w:after="80"/>
      </w:pPr>
      <w:r>
        <w:rPr>
          <w:rFonts w:ascii="Arial" w:hAnsi="Arial"/>
          <w:b/>
          <w:color w:val="0F172A"/>
          <w:sz w:val="23"/>
        </w:rPr>
        <w:t>8.3. 5-Point Discrete Gaussian Smoothing</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y_i* = (0.06 * y_{i-2}) + (0.24 * y_{i-1}) + (0.40 * y_i) + (0.24 * y_{i+1}) + (0.06 * y_{i+2})</w:t>
            </w:r>
          </w:p>
        </w:tc>
      </w:tr>
    </w:tbl>
    <w:p>
      <w:pPr>
        <w:spacing w:after="80"/>
      </w:pPr>
    </w:p>
    <w:p>
      <w:pPr>
        <w:keepNext/>
        <w:spacing w:before="320" w:after="120"/>
      </w:pPr>
      <w:r>
        <w:rPr>
          <w:rFonts w:ascii="Arial" w:hAnsi="Arial"/>
          <w:b/>
          <w:color w:val="065F46"/>
          <w:sz w:val="28"/>
        </w:rPr>
        <w:t>9. 6-Axis IMU Kinematics &amp; Exercise Tracking</w:t>
      </w:r>
    </w:p>
    <w:p>
      <w:pPr>
        <w:keepNext/>
        <w:spacing w:before="200" w:after="80"/>
      </w:pPr>
      <w:r>
        <w:rPr>
          <w:rFonts w:ascii="Arial" w:hAnsi="Arial"/>
          <w:b/>
          <w:color w:val="0F172A"/>
          <w:sz w:val="23"/>
        </w:rPr>
        <w:t>9.1. Accelerometer &amp; Gyroscope Scaling</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a_x = raw_Ax / 16384.0 g,   a_y = raw_Ay / 16384.0 g,   a_z = raw_Az / 16384.0 g</w:t>
              <w:br/>
              <w:t>w_x = raw_Gx / 131.0 deg/s, w_y = raw_Gy / 131.0 deg/s, w_z = raw_Gz / 131.0 deg/s</w:t>
            </w:r>
          </w:p>
        </w:tc>
      </w:tr>
    </w:tbl>
    <w:p>
      <w:pPr>
        <w:spacing w:after="80"/>
      </w:pPr>
    </w:p>
    <w:p>
      <w:pPr>
        <w:keepNext/>
        <w:spacing w:before="200" w:after="80"/>
      </w:pPr>
      <w:r>
        <w:rPr>
          <w:rFonts w:ascii="Arial" w:hAnsi="Arial"/>
          <w:b/>
          <w:color w:val="0F172A"/>
          <w:sz w:val="23"/>
        </w:rPr>
        <w:t>9.2. Foot Pitch Angle (Calf Raise / Incline Tilt)</w:t>
      </w:r>
    </w:p>
    <w:p>
      <w:pPr>
        <w:spacing w:after="80" w:line="276" w:lineRule="auto"/>
      </w:pPr>
      <w:r>
        <w:rPr>
          <w:rFonts w:ascii="Arial" w:hAnsi="Arial"/>
          <w:color w:val="0F172A"/>
          <w:sz w:val="19"/>
        </w:rPr>
        <w:t>The pitch inclination of the foot relative to the gravity vector:</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theta_pitch = atan2(a_x, sqrt(a_y^2 + a_z^2)) * (180.0 / pi)</w:t>
              <w:br/>
              <w:t>normalized_tilt = clamp(theta_pitch / 45.0, -1.0, 1.0)</w:t>
              <w:br/>
              <w:t>smoothed_tilt(t) = smoothed_tilt(t-1) + 0.18 * (raw_tilt(t) - smoothed_tilt(t-1))</w:t>
            </w:r>
          </w:p>
        </w:tc>
      </w:tr>
    </w:tbl>
    <w:p>
      <w:pPr>
        <w:spacing w:after="80"/>
      </w:pPr>
    </w:p>
    <w:p>
      <w:pPr>
        <w:keepNext/>
        <w:spacing w:before="200" w:after="80"/>
      </w:pPr>
      <w:r>
        <w:rPr>
          <w:rFonts w:ascii="Arial" w:hAnsi="Arial"/>
          <w:b/>
          <w:color w:val="0F172A"/>
          <w:sz w:val="23"/>
        </w:rPr>
        <w:t>9.3. Toe-Standing / Plantarflexion Exercise State</w:t>
      </w:r>
    </w:p>
    <w:tbl>
      <w:tblPr>
        <w:tblW w:type="auto" w:w="0"/>
        <w:jc w:val="center"/>
        <w:tblLook w:firstColumn="1" w:firstRow="1" w:lastColumn="0" w:lastRow="0" w:noHBand="0" w:noVBand="1" w:val="04A0"/>
      </w:tblPr>
      <w:tblGrid>
        <w:gridCol w:w="9792"/>
      </w:tblGrid>
      <w:tr>
        <w:tc>
          <w:tcPr>
            <w:tcW w:type="dxa" w:w="9792"/>
            <w:shd w:fill="ECFDF5"/>
            <w:tcMar>
              <w:top w:w="120" w:type="dxa"/>
              <w:bottom w:w="120" w:type="dxa"/>
              <w:left w:w="160" w:type="dxa"/>
              <w:right w:w="160" w:type="dxa"/>
            </w:tcMar>
          </w:tcPr>
          <w:p>
            <w:pPr>
              <w:spacing w:after="40"/>
            </w:pPr>
            <w:r>
              <w:rPr>
                <w:rFonts w:ascii="Consolas" w:hAnsi="Consolas"/>
                <w:b/>
                <w:color w:val="065F46"/>
                <w:sz w:val="20"/>
              </w:rPr>
              <w:t>ToeStandingActive = (F_toe_L &gt; 1800 or F_toe_R &gt; 1800) and (F_heel_L &lt;= 1200 and F_heel_R &lt;= 1200)</w:t>
            </w:r>
          </w:p>
        </w:tc>
      </w:tr>
    </w:tbl>
    <w:p>
      <w:pPr>
        <w:spacing w:after="80"/>
      </w:pPr>
    </w:p>
    <w:p>
      <w:pPr>
        <w:keepNext/>
        <w:spacing w:before="320" w:after="120"/>
      </w:pPr>
      <w:r>
        <w:rPr>
          <w:rFonts w:ascii="Arial" w:hAnsi="Arial"/>
          <w:b/>
          <w:color w:val="065F46"/>
          <w:sz w:val="28"/>
        </w:rPr>
        <w:t>10. Summary Matrix of Gait Metrics &amp; Reference Norms</w:t>
      </w:r>
    </w:p>
    <w:tbl>
      <w:tblPr>
        <w:tblW w:type="auto" w:w="0"/>
        <w:jc w:val="center"/>
        <w:tblLayout w:type="fixed"/>
        <w:tblLook w:firstColumn="1" w:firstRow="1" w:lastColumn="0" w:lastRow="0" w:noHBand="0" w:noVBand="1" w:val="04A0"/>
      </w:tblPr>
      <w:tblGrid>
        <w:gridCol w:w="2592"/>
        <w:gridCol w:w="3312"/>
        <w:gridCol w:w="2160"/>
        <w:gridCol w:w="1728"/>
      </w:tblGrid>
      <w:tr>
        <w:tc>
          <w:tcPr>
            <w:tcW w:type="dxa" w:w="2592"/>
            <w:shd w:fill="065F46"/>
            <w:tcMar>
              <w:top w:w="100" w:type="dxa"/>
              <w:bottom w:w="100" w:type="dxa"/>
              <w:left w:w="120" w:type="dxa"/>
              <w:right w:w="120" w:type="dxa"/>
            </w:tcMar>
          </w:tcPr>
          <w:p>
            <w:pPr>
              <w:spacing w:after="40"/>
            </w:pPr>
            <w:r>
              <w:rPr>
                <w:rFonts w:ascii="Arial" w:hAnsi="Arial"/>
                <w:b/>
                <w:color w:val="FFFFFF"/>
                <w:sz w:val="17"/>
              </w:rPr>
              <w:t>Gait Metric</w:t>
            </w:r>
          </w:p>
        </w:tc>
        <w:tc>
          <w:tcPr>
            <w:tcW w:type="dxa" w:w="3312"/>
            <w:shd w:fill="065F46"/>
            <w:tcMar>
              <w:top w:w="100" w:type="dxa"/>
              <w:bottom w:w="100" w:type="dxa"/>
              <w:left w:w="120" w:type="dxa"/>
              <w:right w:w="120" w:type="dxa"/>
            </w:tcMar>
          </w:tcPr>
          <w:p>
            <w:pPr>
              <w:spacing w:after="40"/>
            </w:pPr>
            <w:r>
              <w:rPr>
                <w:rFonts w:ascii="Arial" w:hAnsi="Arial"/>
                <w:b/>
                <w:color w:val="FFFFFF"/>
                <w:sz w:val="17"/>
              </w:rPr>
              <w:t>Primary Formulation</w:t>
            </w:r>
          </w:p>
        </w:tc>
        <w:tc>
          <w:tcPr>
            <w:tcW w:type="dxa" w:w="2160"/>
            <w:shd w:fill="065F46"/>
            <w:tcMar>
              <w:top w:w="100" w:type="dxa"/>
              <w:bottom w:w="100" w:type="dxa"/>
              <w:left w:w="120" w:type="dxa"/>
              <w:right w:w="120" w:type="dxa"/>
            </w:tcMar>
          </w:tcPr>
          <w:p>
            <w:pPr>
              <w:spacing w:after="40"/>
            </w:pPr>
            <w:r>
              <w:rPr>
                <w:rFonts w:ascii="Arial" w:hAnsi="Arial"/>
                <w:b/>
                <w:color w:val="FFFFFF"/>
                <w:sz w:val="17"/>
              </w:rPr>
              <w:t>Clinical Norm</w:t>
            </w:r>
          </w:p>
        </w:tc>
        <w:tc>
          <w:tcPr>
            <w:tcW w:type="dxa" w:w="1728"/>
            <w:shd w:fill="065F46"/>
            <w:tcMar>
              <w:top w:w="100" w:type="dxa"/>
              <w:bottom w:w="100" w:type="dxa"/>
              <w:left w:w="120" w:type="dxa"/>
              <w:right w:w="120" w:type="dxa"/>
            </w:tcMar>
          </w:tcPr>
          <w:p>
            <w:pPr>
              <w:spacing w:after="40"/>
            </w:pPr>
            <w:r>
              <w:rPr>
                <w:rFonts w:ascii="Arial" w:hAnsi="Arial"/>
                <w:b/>
                <w:color w:val="FFFFFF"/>
                <w:sz w:val="17"/>
              </w:rPr>
              <w:t>Units</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FSR to Force</w:t>
            </w:r>
          </w:p>
        </w:tc>
        <w:tc>
          <w:tcPr>
            <w:tcW w:type="dxa" w:w="3312"/>
            <w:shd w:fill="F8FAFC"/>
            <w:tcMar>
              <w:top w:w="80" w:type="dxa"/>
              <w:bottom w:w="80" w:type="dxa"/>
              <w:left w:w="120" w:type="dxa"/>
              <w:right w:w="120" w:type="dxa"/>
            </w:tcMar>
          </w:tcPr>
          <w:p>
            <w:pPr>
              <w:spacing w:after="40"/>
            </w:pPr>
            <w:r>
              <w:rPr>
                <w:rFonts w:ascii="Consolas" w:hAnsi="Consolas"/>
                <w:color w:val="0F172A"/>
                <w:sz w:val="17"/>
              </w:rPr>
              <w:t>max(0, 0.0125*ADC - 13.75)</w:t>
            </w:r>
          </w:p>
        </w:tc>
        <w:tc>
          <w:tcPr>
            <w:tcW w:type="dxa" w:w="2160"/>
            <w:shd w:fill="F8FAFC"/>
            <w:tcMar>
              <w:top w:w="80" w:type="dxa"/>
              <w:bottom w:w="80" w:type="dxa"/>
              <w:left w:w="120" w:type="dxa"/>
              <w:right w:w="120" w:type="dxa"/>
            </w:tcMar>
          </w:tcPr>
          <w:p>
            <w:pPr>
              <w:spacing w:after="40"/>
            </w:pPr>
            <w:r>
              <w:rPr>
                <w:rFonts w:ascii="Arial" w:hAnsi="Arial"/>
                <w:color w:val="0F172A"/>
                <w:sz w:val="17"/>
              </w:rPr>
              <w:t>Body Weight %</w:t>
            </w:r>
          </w:p>
        </w:tc>
        <w:tc>
          <w:tcPr>
            <w:tcW w:type="dxa" w:w="1728"/>
            <w:shd w:fill="F8FAFC"/>
            <w:tcMar>
              <w:top w:w="80" w:type="dxa"/>
              <w:bottom w:w="80" w:type="dxa"/>
              <w:left w:w="120" w:type="dxa"/>
              <w:right w:w="120" w:type="dxa"/>
            </w:tcMar>
          </w:tcPr>
          <w:p>
            <w:pPr>
              <w:spacing w:after="40"/>
            </w:pPr>
            <w:r>
              <w:rPr>
                <w:rFonts w:ascii="Arial" w:hAnsi="Arial"/>
                <w:color w:val="0F172A"/>
                <w:sz w:val="17"/>
              </w:rPr>
              <w:t>kg</w:t>
            </w:r>
          </w:p>
        </w:tc>
      </w:tr>
      <w:tr>
        <w:tc>
          <w:tcPr>
            <w:tcW w:type="dxa" w:w="2592"/>
            <w:shd w:fill="FFFFFF"/>
            <w:tcMar>
              <w:top w:w="80" w:type="dxa"/>
              <w:bottom w:w="80" w:type="dxa"/>
              <w:left w:w="120" w:type="dxa"/>
              <w:right w:w="120" w:type="dxa"/>
            </w:tcMar>
          </w:tcPr>
          <w:p>
            <w:pPr>
              <w:spacing w:after="40"/>
            </w:pPr>
            <w:r>
              <w:rPr>
                <w:rFonts w:ascii="Arial" w:hAnsi="Arial"/>
                <w:b/>
                <w:color w:val="0F172A"/>
                <w:sz w:val="17"/>
              </w:rPr>
              <w:t>Cadence</w:t>
            </w:r>
          </w:p>
        </w:tc>
        <w:tc>
          <w:tcPr>
            <w:tcW w:type="dxa" w:w="3312"/>
            <w:shd w:fill="FFFFFF"/>
            <w:tcMar>
              <w:top w:w="80" w:type="dxa"/>
              <w:bottom w:w="80" w:type="dxa"/>
              <w:left w:w="120" w:type="dxa"/>
              <w:right w:w="120" w:type="dxa"/>
            </w:tcMar>
          </w:tcPr>
          <w:p>
            <w:pPr>
              <w:spacing w:after="40"/>
            </w:pPr>
            <w:r>
              <w:rPr>
                <w:rFonts w:ascii="Consolas" w:hAnsi="Consolas"/>
                <w:color w:val="0F172A"/>
                <w:sz w:val="17"/>
              </w:rPr>
              <w:t>Total_Steps_10s * 6</w:t>
            </w:r>
          </w:p>
        </w:tc>
        <w:tc>
          <w:tcPr>
            <w:tcW w:type="dxa" w:w="2160"/>
            <w:shd w:fill="FFFFFF"/>
            <w:tcMar>
              <w:top w:w="80" w:type="dxa"/>
              <w:bottom w:w="80" w:type="dxa"/>
              <w:left w:w="120" w:type="dxa"/>
              <w:right w:w="120" w:type="dxa"/>
            </w:tcMar>
          </w:tcPr>
          <w:p>
            <w:pPr>
              <w:spacing w:after="40"/>
            </w:pPr>
            <w:r>
              <w:rPr>
                <w:rFonts w:ascii="Arial" w:hAnsi="Arial"/>
                <w:color w:val="0F172A"/>
                <w:sz w:val="17"/>
              </w:rPr>
              <w:t>90 - 120</w:t>
            </w:r>
          </w:p>
        </w:tc>
        <w:tc>
          <w:tcPr>
            <w:tcW w:type="dxa" w:w="1728"/>
            <w:shd w:fill="FFFFFF"/>
            <w:tcMar>
              <w:top w:w="80" w:type="dxa"/>
              <w:bottom w:w="80" w:type="dxa"/>
              <w:left w:w="120" w:type="dxa"/>
              <w:right w:w="120" w:type="dxa"/>
            </w:tcMar>
          </w:tcPr>
          <w:p>
            <w:pPr>
              <w:spacing w:after="40"/>
            </w:pPr>
            <w:r>
              <w:rPr>
                <w:rFonts w:ascii="Arial" w:hAnsi="Arial"/>
                <w:color w:val="0F172A"/>
                <w:sz w:val="17"/>
              </w:rPr>
              <w:t>steps/min</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Stride Time</w:t>
            </w:r>
          </w:p>
        </w:tc>
        <w:tc>
          <w:tcPr>
            <w:tcW w:type="dxa" w:w="3312"/>
            <w:shd w:fill="F8FAFC"/>
            <w:tcMar>
              <w:top w:w="80" w:type="dxa"/>
              <w:bottom w:w="80" w:type="dxa"/>
              <w:left w:w="120" w:type="dxa"/>
              <w:right w:w="120" w:type="dxa"/>
            </w:tcMar>
          </w:tcPr>
          <w:p>
            <w:pPr>
              <w:spacing w:after="40"/>
            </w:pPr>
            <w:r>
              <w:rPr>
                <w:rFonts w:ascii="Consolas" w:hAnsi="Consolas"/>
                <w:color w:val="0F172A"/>
                <w:sz w:val="17"/>
              </w:rPr>
              <w:t>avg_L2R + avg_R2L</w:t>
            </w:r>
          </w:p>
        </w:tc>
        <w:tc>
          <w:tcPr>
            <w:tcW w:type="dxa" w:w="2160"/>
            <w:shd w:fill="F8FAFC"/>
            <w:tcMar>
              <w:top w:w="80" w:type="dxa"/>
              <w:bottom w:w="80" w:type="dxa"/>
              <w:left w:w="120" w:type="dxa"/>
              <w:right w:w="120" w:type="dxa"/>
            </w:tcMar>
          </w:tcPr>
          <w:p>
            <w:pPr>
              <w:spacing w:after="40"/>
            </w:pPr>
            <w:r>
              <w:rPr>
                <w:rFonts w:ascii="Arial" w:hAnsi="Arial"/>
                <w:color w:val="0F172A"/>
                <w:sz w:val="17"/>
              </w:rPr>
              <w:t>1000 - 1200</w:t>
            </w:r>
          </w:p>
        </w:tc>
        <w:tc>
          <w:tcPr>
            <w:tcW w:type="dxa" w:w="1728"/>
            <w:shd w:fill="F8FAFC"/>
            <w:tcMar>
              <w:top w:w="80" w:type="dxa"/>
              <w:bottom w:w="80" w:type="dxa"/>
              <w:left w:w="120" w:type="dxa"/>
              <w:right w:w="120" w:type="dxa"/>
            </w:tcMar>
          </w:tcPr>
          <w:p>
            <w:pPr>
              <w:spacing w:after="40"/>
            </w:pPr>
            <w:r>
              <w:rPr>
                <w:rFonts w:ascii="Arial" w:hAnsi="Arial"/>
                <w:color w:val="0F172A"/>
                <w:sz w:val="17"/>
              </w:rPr>
              <w:t>ms</w:t>
            </w:r>
          </w:p>
        </w:tc>
      </w:tr>
      <w:tr>
        <w:tc>
          <w:tcPr>
            <w:tcW w:type="dxa" w:w="2592"/>
            <w:shd w:fill="FFFFFF"/>
            <w:tcMar>
              <w:top w:w="80" w:type="dxa"/>
              <w:bottom w:w="80" w:type="dxa"/>
              <w:left w:w="120" w:type="dxa"/>
              <w:right w:w="120" w:type="dxa"/>
            </w:tcMar>
          </w:tcPr>
          <w:p>
            <w:pPr>
              <w:spacing w:after="40"/>
            </w:pPr>
            <w:r>
              <w:rPr>
                <w:rFonts w:ascii="Arial" w:hAnsi="Arial"/>
                <w:b/>
                <w:color w:val="0F172A"/>
                <w:sz w:val="17"/>
              </w:rPr>
              <w:t>Symmetry Index</w:t>
            </w:r>
          </w:p>
        </w:tc>
        <w:tc>
          <w:tcPr>
            <w:tcW w:type="dxa" w:w="3312"/>
            <w:shd w:fill="FFFFFF"/>
            <w:tcMar>
              <w:top w:w="80" w:type="dxa"/>
              <w:bottom w:w="80" w:type="dxa"/>
              <w:left w:w="120" w:type="dxa"/>
              <w:right w:w="120" w:type="dxa"/>
            </w:tcMar>
          </w:tcPr>
          <w:p>
            <w:pPr>
              <w:spacing w:after="40"/>
            </w:pPr>
            <w:r>
              <w:rPr>
                <w:rFonts w:ascii="Consolas" w:hAnsi="Consolas"/>
                <w:color w:val="0F172A"/>
                <w:sz w:val="17"/>
              </w:rPr>
              <w:t>(|L2R - R2L| / mean) * 100</w:t>
            </w:r>
          </w:p>
        </w:tc>
        <w:tc>
          <w:tcPr>
            <w:tcW w:type="dxa" w:w="2160"/>
            <w:shd w:fill="FFFFFF"/>
            <w:tcMar>
              <w:top w:w="80" w:type="dxa"/>
              <w:bottom w:w="80" w:type="dxa"/>
              <w:left w:w="120" w:type="dxa"/>
              <w:right w:w="120" w:type="dxa"/>
            </w:tcMar>
          </w:tcPr>
          <w:p>
            <w:pPr>
              <w:spacing w:after="40"/>
            </w:pPr>
            <w:r>
              <w:rPr>
                <w:rFonts w:ascii="Arial" w:hAnsi="Arial"/>
                <w:color w:val="0F172A"/>
                <w:sz w:val="17"/>
              </w:rPr>
              <w:t>&lt; 6.0%</w:t>
            </w:r>
          </w:p>
        </w:tc>
        <w:tc>
          <w:tcPr>
            <w:tcW w:type="dxa" w:w="1728"/>
            <w:shd w:fill="FFFFFF"/>
            <w:tcMar>
              <w:top w:w="80" w:type="dxa"/>
              <w:bottom w:w="80" w:type="dxa"/>
              <w:left w:w="120" w:type="dxa"/>
              <w:right w:w="120" w:type="dxa"/>
            </w:tcMar>
          </w:tcPr>
          <w:p>
            <w:pPr>
              <w:spacing w:after="40"/>
            </w:pPr>
            <w:r>
              <w:rPr>
                <w:rFonts w:ascii="Arial" w:hAnsi="Arial"/>
                <w:color w:val="0F172A"/>
                <w:sz w:val="17"/>
              </w:rPr>
              <w:t>%</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Symmetry Score</w:t>
            </w:r>
          </w:p>
        </w:tc>
        <w:tc>
          <w:tcPr>
            <w:tcW w:type="dxa" w:w="3312"/>
            <w:shd w:fill="F8FAFC"/>
            <w:tcMar>
              <w:top w:w="80" w:type="dxa"/>
              <w:bottom w:w="80" w:type="dxa"/>
              <w:left w:w="120" w:type="dxa"/>
              <w:right w:w="120" w:type="dxa"/>
            </w:tcMar>
          </w:tcPr>
          <w:p>
            <w:pPr>
              <w:spacing w:after="40"/>
            </w:pPr>
            <w:r>
              <w:rPr>
                <w:rFonts w:ascii="Consolas" w:hAnsi="Consolas"/>
                <w:color w:val="0F172A"/>
                <w:sz w:val="17"/>
              </w:rPr>
              <w:t>clamp(100 - SI*0.5, 0, 100)</w:t>
            </w:r>
          </w:p>
        </w:tc>
        <w:tc>
          <w:tcPr>
            <w:tcW w:type="dxa" w:w="2160"/>
            <w:shd w:fill="F8FAFC"/>
            <w:tcMar>
              <w:top w:w="80" w:type="dxa"/>
              <w:bottom w:w="80" w:type="dxa"/>
              <w:left w:w="120" w:type="dxa"/>
              <w:right w:w="120" w:type="dxa"/>
            </w:tcMar>
          </w:tcPr>
          <w:p>
            <w:pPr>
              <w:spacing w:after="40"/>
            </w:pPr>
            <w:r>
              <w:rPr>
                <w:rFonts w:ascii="Arial" w:hAnsi="Arial"/>
                <w:color w:val="0F172A"/>
                <w:sz w:val="17"/>
              </w:rPr>
              <w:t>&gt; 90.0%</w:t>
            </w:r>
          </w:p>
        </w:tc>
        <w:tc>
          <w:tcPr>
            <w:tcW w:type="dxa" w:w="1728"/>
            <w:shd w:fill="F8FAFC"/>
            <w:tcMar>
              <w:top w:w="80" w:type="dxa"/>
              <w:bottom w:w="80" w:type="dxa"/>
              <w:left w:w="120" w:type="dxa"/>
              <w:right w:w="120" w:type="dxa"/>
            </w:tcMar>
          </w:tcPr>
          <w:p>
            <w:pPr>
              <w:spacing w:after="40"/>
            </w:pPr>
            <w:r>
              <w:rPr>
                <w:rFonts w:ascii="Arial" w:hAnsi="Arial"/>
                <w:color w:val="0F172A"/>
                <w:sz w:val="17"/>
              </w:rPr>
              <w:t>%</w:t>
            </w:r>
          </w:p>
        </w:tc>
      </w:tr>
      <w:tr>
        <w:tc>
          <w:tcPr>
            <w:tcW w:type="dxa" w:w="2592"/>
            <w:shd w:fill="FFFFFF"/>
            <w:tcMar>
              <w:top w:w="80" w:type="dxa"/>
              <w:bottom w:w="80" w:type="dxa"/>
              <w:left w:w="120" w:type="dxa"/>
              <w:right w:w="120" w:type="dxa"/>
            </w:tcMar>
          </w:tcPr>
          <w:p>
            <w:pPr>
              <w:spacing w:after="40"/>
            </w:pPr>
            <w:r>
              <w:rPr>
                <w:rFonts w:ascii="Arial" w:hAnsi="Arial"/>
                <w:b/>
                <w:color w:val="0F172A"/>
                <w:sz w:val="17"/>
              </w:rPr>
              <w:t>Stance Phase %</w:t>
            </w:r>
          </w:p>
        </w:tc>
        <w:tc>
          <w:tcPr>
            <w:tcW w:type="dxa" w:w="3312"/>
            <w:shd w:fill="FFFFFF"/>
            <w:tcMar>
              <w:top w:w="80" w:type="dxa"/>
              <w:bottom w:w="80" w:type="dxa"/>
              <w:left w:w="120" w:type="dxa"/>
              <w:right w:w="120" w:type="dxa"/>
            </w:tcMar>
          </w:tcPr>
          <w:p>
            <w:pPr>
              <w:spacing w:after="40"/>
            </w:pPr>
            <w:r>
              <w:rPr>
                <w:rFonts w:ascii="Consolas" w:hAnsi="Consolas"/>
                <w:color w:val="0F172A"/>
                <w:sz w:val="17"/>
              </w:rPr>
              <w:t>(t_loaded / t_total) * 100</w:t>
            </w:r>
          </w:p>
        </w:tc>
        <w:tc>
          <w:tcPr>
            <w:tcW w:type="dxa" w:w="2160"/>
            <w:shd w:fill="FFFFFF"/>
            <w:tcMar>
              <w:top w:w="80" w:type="dxa"/>
              <w:bottom w:w="80" w:type="dxa"/>
              <w:left w:w="120" w:type="dxa"/>
              <w:right w:w="120" w:type="dxa"/>
            </w:tcMar>
          </w:tcPr>
          <w:p>
            <w:pPr>
              <w:spacing w:after="40"/>
            </w:pPr>
            <w:r>
              <w:rPr>
                <w:rFonts w:ascii="Arial" w:hAnsi="Arial"/>
                <w:color w:val="0F172A"/>
                <w:sz w:val="17"/>
              </w:rPr>
              <w:t>58% - 62%</w:t>
            </w:r>
          </w:p>
        </w:tc>
        <w:tc>
          <w:tcPr>
            <w:tcW w:type="dxa" w:w="1728"/>
            <w:shd w:fill="FFFFFF"/>
            <w:tcMar>
              <w:top w:w="80" w:type="dxa"/>
              <w:bottom w:w="80" w:type="dxa"/>
              <w:left w:w="120" w:type="dxa"/>
              <w:right w:w="120" w:type="dxa"/>
            </w:tcMar>
          </w:tcPr>
          <w:p>
            <w:pPr>
              <w:spacing w:after="40"/>
            </w:pPr>
            <w:r>
              <w:rPr>
                <w:rFonts w:ascii="Arial" w:hAnsi="Arial"/>
                <w:color w:val="0F172A"/>
                <w:sz w:val="17"/>
              </w:rPr>
              <w:t>%</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Swing Phase %</w:t>
            </w:r>
          </w:p>
        </w:tc>
        <w:tc>
          <w:tcPr>
            <w:tcW w:type="dxa" w:w="3312"/>
            <w:shd w:fill="F8FAFC"/>
            <w:tcMar>
              <w:top w:w="80" w:type="dxa"/>
              <w:bottom w:w="80" w:type="dxa"/>
              <w:left w:w="120" w:type="dxa"/>
              <w:right w:w="120" w:type="dxa"/>
            </w:tcMar>
          </w:tcPr>
          <w:p>
            <w:pPr>
              <w:spacing w:after="40"/>
            </w:pPr>
            <w:r>
              <w:rPr>
                <w:rFonts w:ascii="Consolas" w:hAnsi="Consolas"/>
                <w:color w:val="0F172A"/>
                <w:sz w:val="17"/>
              </w:rPr>
              <w:t>100% - Stance%</w:t>
            </w:r>
          </w:p>
        </w:tc>
        <w:tc>
          <w:tcPr>
            <w:tcW w:type="dxa" w:w="2160"/>
            <w:shd w:fill="F8FAFC"/>
            <w:tcMar>
              <w:top w:w="80" w:type="dxa"/>
              <w:bottom w:w="80" w:type="dxa"/>
              <w:left w:w="120" w:type="dxa"/>
              <w:right w:w="120" w:type="dxa"/>
            </w:tcMar>
          </w:tcPr>
          <w:p>
            <w:pPr>
              <w:spacing w:after="40"/>
            </w:pPr>
            <w:r>
              <w:rPr>
                <w:rFonts w:ascii="Arial" w:hAnsi="Arial"/>
                <w:color w:val="0F172A"/>
                <w:sz w:val="17"/>
              </w:rPr>
              <w:t>38% - 42%</w:t>
            </w:r>
          </w:p>
        </w:tc>
        <w:tc>
          <w:tcPr>
            <w:tcW w:type="dxa" w:w="1728"/>
            <w:shd w:fill="F8FAFC"/>
            <w:tcMar>
              <w:top w:w="80" w:type="dxa"/>
              <w:bottom w:w="80" w:type="dxa"/>
              <w:left w:w="120" w:type="dxa"/>
              <w:right w:w="120" w:type="dxa"/>
            </w:tcMar>
          </w:tcPr>
          <w:p>
            <w:pPr>
              <w:spacing w:after="40"/>
            </w:pPr>
            <w:r>
              <w:rPr>
                <w:rFonts w:ascii="Arial" w:hAnsi="Arial"/>
                <w:color w:val="0F172A"/>
                <w:sz w:val="17"/>
              </w:rPr>
              <w:t>%</w:t>
            </w:r>
          </w:p>
        </w:tc>
      </w:tr>
      <w:tr>
        <w:tc>
          <w:tcPr>
            <w:tcW w:type="dxa" w:w="2592"/>
            <w:shd w:fill="FFFFFF"/>
            <w:tcMar>
              <w:top w:w="80" w:type="dxa"/>
              <w:bottom w:w="80" w:type="dxa"/>
              <w:left w:w="120" w:type="dxa"/>
              <w:right w:w="120" w:type="dxa"/>
            </w:tcMar>
          </w:tcPr>
          <w:p>
            <w:pPr>
              <w:spacing w:after="40"/>
            </w:pPr>
            <w:r>
              <w:rPr>
                <w:rFonts w:ascii="Arial" w:hAnsi="Arial"/>
                <w:b/>
                <w:color w:val="0F172A"/>
                <w:sz w:val="17"/>
              </w:rPr>
              <w:t>Double Support %</w:t>
            </w:r>
          </w:p>
        </w:tc>
        <w:tc>
          <w:tcPr>
            <w:tcW w:type="dxa" w:w="3312"/>
            <w:shd w:fill="FFFFFF"/>
            <w:tcMar>
              <w:top w:w="80" w:type="dxa"/>
              <w:bottom w:w="80" w:type="dxa"/>
              <w:left w:w="120" w:type="dxa"/>
              <w:right w:w="120" w:type="dxa"/>
            </w:tcMar>
          </w:tcPr>
          <w:p>
            <w:pPr>
              <w:spacing w:after="40"/>
            </w:pPr>
            <w:r>
              <w:rPr>
                <w:rFonts w:ascii="Consolas" w:hAnsi="Consolas"/>
                <w:color w:val="0F172A"/>
                <w:sz w:val="17"/>
              </w:rPr>
              <w:t>(t_both / t_total) * 100</w:t>
            </w:r>
          </w:p>
        </w:tc>
        <w:tc>
          <w:tcPr>
            <w:tcW w:type="dxa" w:w="2160"/>
            <w:shd w:fill="FFFFFF"/>
            <w:tcMar>
              <w:top w:w="80" w:type="dxa"/>
              <w:bottom w:w="80" w:type="dxa"/>
              <w:left w:w="120" w:type="dxa"/>
              <w:right w:w="120" w:type="dxa"/>
            </w:tcMar>
          </w:tcPr>
          <w:p>
            <w:pPr>
              <w:spacing w:after="40"/>
            </w:pPr>
            <w:r>
              <w:rPr>
                <w:rFonts w:ascii="Arial" w:hAnsi="Arial"/>
                <w:color w:val="0F172A"/>
                <w:sz w:val="17"/>
              </w:rPr>
              <w:t>18% - 24%</w:t>
            </w:r>
          </w:p>
        </w:tc>
        <w:tc>
          <w:tcPr>
            <w:tcW w:type="dxa" w:w="1728"/>
            <w:shd w:fill="FFFFFF"/>
            <w:tcMar>
              <w:top w:w="80" w:type="dxa"/>
              <w:bottom w:w="80" w:type="dxa"/>
              <w:left w:w="120" w:type="dxa"/>
              <w:right w:w="120" w:type="dxa"/>
            </w:tcMar>
          </w:tcPr>
          <w:p>
            <w:pPr>
              <w:spacing w:after="40"/>
            </w:pPr>
            <w:r>
              <w:rPr>
                <w:rFonts w:ascii="Arial" w:hAnsi="Arial"/>
                <w:color w:val="0F172A"/>
                <w:sz w:val="17"/>
              </w:rPr>
              <w:t>%</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Gait Variability</w:t>
            </w:r>
          </w:p>
        </w:tc>
        <w:tc>
          <w:tcPr>
            <w:tcW w:type="dxa" w:w="3312"/>
            <w:shd w:fill="F8FAFC"/>
            <w:tcMar>
              <w:top w:w="80" w:type="dxa"/>
              <w:bottom w:w="80" w:type="dxa"/>
              <w:left w:w="120" w:type="dxa"/>
              <w:right w:w="120" w:type="dxa"/>
            </w:tcMar>
          </w:tcPr>
          <w:p>
            <w:pPr>
              <w:spacing w:after="40"/>
            </w:pPr>
            <w:r>
              <w:rPr>
                <w:rFonts w:ascii="Consolas" w:hAnsi="Consolas"/>
                <w:color w:val="0F172A"/>
                <w:sz w:val="17"/>
              </w:rPr>
              <w:t>(|L2R - R2L| / Stride) * 55</w:t>
            </w:r>
          </w:p>
        </w:tc>
        <w:tc>
          <w:tcPr>
            <w:tcW w:type="dxa" w:w="2160"/>
            <w:shd w:fill="F8FAFC"/>
            <w:tcMar>
              <w:top w:w="80" w:type="dxa"/>
              <w:bottom w:w="80" w:type="dxa"/>
              <w:left w:w="120" w:type="dxa"/>
              <w:right w:w="120" w:type="dxa"/>
            </w:tcMar>
          </w:tcPr>
          <w:p>
            <w:pPr>
              <w:spacing w:after="40"/>
            </w:pPr>
            <w:r>
              <w:rPr>
                <w:rFonts w:ascii="Arial" w:hAnsi="Arial"/>
                <w:color w:val="0F172A"/>
                <w:sz w:val="17"/>
              </w:rPr>
              <w:t>&lt; 2.5%</w:t>
            </w:r>
          </w:p>
        </w:tc>
        <w:tc>
          <w:tcPr>
            <w:tcW w:type="dxa" w:w="1728"/>
            <w:shd w:fill="F8FAFC"/>
            <w:tcMar>
              <w:top w:w="80" w:type="dxa"/>
              <w:bottom w:w="80" w:type="dxa"/>
              <w:left w:w="120" w:type="dxa"/>
              <w:right w:w="120" w:type="dxa"/>
            </w:tcMar>
          </w:tcPr>
          <w:p>
            <w:pPr>
              <w:spacing w:after="40"/>
            </w:pPr>
            <w:r>
              <w:rPr>
                <w:rFonts w:ascii="Arial" w:hAnsi="Arial"/>
                <w:color w:val="0F172A"/>
                <w:sz w:val="17"/>
              </w:rPr>
              <w:t>%</w:t>
            </w:r>
          </w:p>
        </w:tc>
      </w:tr>
      <w:tr>
        <w:tc>
          <w:tcPr>
            <w:tcW w:type="dxa" w:w="2592"/>
            <w:shd w:fill="FFFFFF"/>
            <w:tcMar>
              <w:top w:w="80" w:type="dxa"/>
              <w:bottom w:w="80" w:type="dxa"/>
              <w:left w:w="120" w:type="dxa"/>
              <w:right w:w="120" w:type="dxa"/>
            </w:tcMar>
          </w:tcPr>
          <w:p>
            <w:pPr>
              <w:spacing w:after="40"/>
            </w:pPr>
            <w:r>
              <w:rPr>
                <w:rFonts w:ascii="Arial" w:hAnsi="Arial"/>
                <w:b/>
                <w:color w:val="0F172A"/>
                <w:sz w:val="17"/>
              </w:rPr>
              <w:t>A/P Roll Time</w:t>
            </w:r>
          </w:p>
        </w:tc>
        <w:tc>
          <w:tcPr>
            <w:tcW w:type="dxa" w:w="3312"/>
            <w:shd w:fill="FFFFFF"/>
            <w:tcMar>
              <w:top w:w="80" w:type="dxa"/>
              <w:bottom w:w="80" w:type="dxa"/>
              <w:left w:w="120" w:type="dxa"/>
              <w:right w:w="120" w:type="dxa"/>
            </w:tcMar>
          </w:tcPr>
          <w:p>
            <w:pPr>
              <w:spacing w:after="40"/>
            </w:pPr>
            <w:r>
              <w:rPr>
                <w:rFonts w:ascii="Consolas" w:hAnsi="Consolas"/>
                <w:color w:val="0F172A"/>
                <w:sz w:val="17"/>
              </w:rPr>
              <w:t>Heel to toe strike shift</w:t>
            </w:r>
          </w:p>
        </w:tc>
        <w:tc>
          <w:tcPr>
            <w:tcW w:type="dxa" w:w="2160"/>
            <w:shd w:fill="FFFFFF"/>
            <w:tcMar>
              <w:top w:w="80" w:type="dxa"/>
              <w:bottom w:w="80" w:type="dxa"/>
              <w:left w:w="120" w:type="dxa"/>
              <w:right w:w="120" w:type="dxa"/>
            </w:tcMar>
          </w:tcPr>
          <w:p>
            <w:pPr>
              <w:spacing w:after="40"/>
            </w:pPr>
            <w:r>
              <w:rPr>
                <w:rFonts w:ascii="Arial" w:hAnsi="Arial"/>
                <w:color w:val="0F172A"/>
                <w:sz w:val="17"/>
              </w:rPr>
              <w:t>140 - 180</w:t>
            </w:r>
          </w:p>
        </w:tc>
        <w:tc>
          <w:tcPr>
            <w:tcW w:type="dxa" w:w="1728"/>
            <w:shd w:fill="FFFFFF"/>
            <w:tcMar>
              <w:top w:w="80" w:type="dxa"/>
              <w:bottom w:w="80" w:type="dxa"/>
              <w:left w:w="120" w:type="dxa"/>
              <w:right w:w="120" w:type="dxa"/>
            </w:tcMar>
          </w:tcPr>
          <w:p>
            <w:pPr>
              <w:spacing w:after="40"/>
            </w:pPr>
            <w:r>
              <w:rPr>
                <w:rFonts w:ascii="Arial" w:hAnsi="Arial"/>
                <w:color w:val="0F172A"/>
                <w:sz w:val="17"/>
              </w:rPr>
              <w:t>ms</w:t>
            </w:r>
          </w:p>
        </w:tc>
      </w:tr>
      <w:tr>
        <w:tc>
          <w:tcPr>
            <w:tcW w:type="dxa" w:w="2592"/>
            <w:shd w:fill="F8FAFC"/>
            <w:tcMar>
              <w:top w:w="80" w:type="dxa"/>
              <w:bottom w:w="80" w:type="dxa"/>
              <w:left w:w="120" w:type="dxa"/>
              <w:right w:w="120" w:type="dxa"/>
            </w:tcMar>
          </w:tcPr>
          <w:p>
            <w:pPr>
              <w:spacing w:after="40"/>
            </w:pPr>
            <w:r>
              <w:rPr>
                <w:rFonts w:ascii="Arial" w:hAnsi="Arial"/>
                <w:b/>
                <w:color w:val="0F172A"/>
                <w:sz w:val="17"/>
              </w:rPr>
              <w:t>Pitch Tilt Angle</w:t>
            </w:r>
          </w:p>
        </w:tc>
        <w:tc>
          <w:tcPr>
            <w:tcW w:type="dxa" w:w="3312"/>
            <w:shd w:fill="F8FAFC"/>
            <w:tcMar>
              <w:top w:w="80" w:type="dxa"/>
              <w:bottom w:w="80" w:type="dxa"/>
              <w:left w:w="120" w:type="dxa"/>
              <w:right w:w="120" w:type="dxa"/>
            </w:tcMar>
          </w:tcPr>
          <w:p>
            <w:pPr>
              <w:spacing w:after="40"/>
            </w:pPr>
            <w:r>
              <w:rPr>
                <w:rFonts w:ascii="Consolas" w:hAnsi="Consolas"/>
                <w:color w:val="0F172A"/>
                <w:sz w:val="17"/>
              </w:rPr>
              <w:t>atan2(ax, sqrt(ay^2 + az^2))</w:t>
            </w:r>
          </w:p>
        </w:tc>
        <w:tc>
          <w:tcPr>
            <w:tcW w:type="dxa" w:w="2160"/>
            <w:shd w:fill="F8FAFC"/>
            <w:tcMar>
              <w:top w:w="80" w:type="dxa"/>
              <w:bottom w:w="80" w:type="dxa"/>
              <w:left w:w="120" w:type="dxa"/>
              <w:right w:w="120" w:type="dxa"/>
            </w:tcMar>
          </w:tcPr>
          <w:p>
            <w:pPr>
              <w:spacing w:after="40"/>
            </w:pPr>
            <w:r>
              <w:rPr>
                <w:rFonts w:ascii="Arial" w:hAnsi="Arial"/>
                <w:color w:val="0F172A"/>
                <w:sz w:val="17"/>
              </w:rPr>
              <w:t>-45 to +45</w:t>
            </w:r>
          </w:p>
        </w:tc>
        <w:tc>
          <w:tcPr>
            <w:tcW w:type="dxa" w:w="1728"/>
            <w:shd w:fill="F8FAFC"/>
            <w:tcMar>
              <w:top w:w="80" w:type="dxa"/>
              <w:bottom w:w="80" w:type="dxa"/>
              <w:left w:w="120" w:type="dxa"/>
              <w:right w:w="120" w:type="dxa"/>
            </w:tcMar>
          </w:tcPr>
          <w:p>
            <w:pPr>
              <w:spacing w:after="40"/>
            </w:pPr>
            <w:r>
              <w:rPr>
                <w:rFonts w:ascii="Arial" w:hAnsi="Arial"/>
                <w:color w:val="0F172A"/>
                <w:sz w:val="17"/>
              </w:rPr>
              <w:t>degrees</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