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CED1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About Us</w:t>
      </w:r>
    </w:p>
    <w:p w14:paraId="1EEB924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 are a professionally managed chemical manufacturing company engaged in the production of high-quality agrochemical active ingredients and formulations. With a strong focus on innovation, quality, and regulatory compliance, we cater to the evolving needs of the agriculture sector across domestic and international markets.</w:t>
      </w:r>
    </w:p>
    <w:p w14:paraId="02A09A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Our manufacturing facilities are equipped with modern infrastructure and follow strict safety, environmental, and quality standards. Backed by an experienced technical team and deep industry knowledge, we offer reliable, cost-effective, and scalable solutions to our customers.</w:t>
      </w:r>
    </w:p>
    <w:p w14:paraId="4214F8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Driven by continuous improvement and future expansion, we are committed to sustainable growth, long-term partnerships, and contributing to increased agricultural productivity.</w:t>
      </w:r>
    </w:p>
    <w:p w14:paraId="1C6D13D5">
      <w:pPr>
        <w:rPr>
          <w:rFonts w:hint="default"/>
          <w:lang w:val="en-IN"/>
        </w:rPr>
      </w:pPr>
      <w:r>
        <w:rPr>
          <w:rFonts w:hint="default"/>
          <w:lang w:val="en-IN"/>
        </w:rPr>
        <w:drawing>
          <wp:inline distT="0" distB="0" distL="114300" distR="114300">
            <wp:extent cx="2948940" cy="2339340"/>
            <wp:effectExtent l="0" t="0" r="7620" b="7620"/>
            <wp:docPr id="1" name="Picture 1" descr="WhatsApp Image 2026-01-06 at 16.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1-06 at 16.16.36"/>
                    <pic:cNvPicPr>
                      <a:picLocks noChangeAspect="1"/>
                    </pic:cNvPicPr>
                  </pic:nvPicPr>
                  <pic:blipFill>
                    <a:blip r:embed="rId4"/>
                    <a:stretch>
                      <a:fillRect/>
                    </a:stretch>
                  </pic:blipFill>
                  <pic:spPr>
                    <a:xfrm>
                      <a:off x="0" y="0"/>
                      <a:ext cx="2948940" cy="2339340"/>
                    </a:xfrm>
                    <a:prstGeom prst="rect">
                      <a:avLst/>
                    </a:prstGeom>
                  </pic:spPr>
                </pic:pic>
              </a:graphicData>
            </a:graphic>
          </wp:inline>
        </w:drawing>
      </w:r>
    </w:p>
    <w:p w14:paraId="072D6BFD">
      <w:pPr>
        <w:rPr>
          <w:rFonts w:hint="default"/>
          <w:lang w:val="en-IN"/>
        </w:rPr>
      </w:pPr>
    </w:p>
    <w:p w14:paraId="24C0B2C0">
      <w:pPr>
        <w:rPr>
          <w:rFonts w:hint="default" w:ascii="Times New Roman" w:hAnsi="Times New Roman" w:cs="Times New Roman"/>
          <w:b/>
          <w:bCs/>
          <w:lang w:val="en-IN"/>
        </w:rPr>
      </w:pPr>
      <w:r>
        <w:rPr>
          <w:rFonts w:hint="default" w:ascii="Times New Roman" w:hAnsi="Times New Roman" w:cs="Times New Roman"/>
          <w:b/>
          <w:bCs/>
          <w:lang w:val="en-IN"/>
        </w:rPr>
        <w:t>PICS TO BE ADD:</w:t>
      </w:r>
    </w:p>
    <w:p w14:paraId="7F7D18EF">
      <w:pPr>
        <w:rPr>
          <w:rFonts w:hint="default"/>
          <w:lang w:val="en-IN"/>
        </w:rPr>
      </w:pPr>
      <w:r>
        <w:rPr>
          <w:rFonts w:hint="default"/>
          <w:lang w:val="en-IN"/>
        </w:rPr>
        <w:drawing>
          <wp:inline distT="0" distB="0" distL="114300" distR="114300">
            <wp:extent cx="2286000" cy="1280160"/>
            <wp:effectExtent l="0" t="0" r="0" b="0"/>
            <wp:docPr id="16" name="Picture 1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6"/>
                    <pic:cNvPicPr>
                      <a:picLocks noChangeAspect="1"/>
                    </pic:cNvPicPr>
                  </pic:nvPicPr>
                  <pic:blipFill>
                    <a:blip r:embed="rId5"/>
                    <a:stretch>
                      <a:fillRect/>
                    </a:stretch>
                  </pic:blipFill>
                  <pic:spPr>
                    <a:xfrm>
                      <a:off x="0" y="0"/>
                      <a:ext cx="2286000" cy="1280160"/>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2536190" cy="1283970"/>
            <wp:effectExtent l="0" t="0" r="8890" b="11430"/>
            <wp:docPr id="18" name="Picture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
                    <pic:cNvPicPr>
                      <a:picLocks noChangeAspect="1"/>
                    </pic:cNvPicPr>
                  </pic:nvPicPr>
                  <pic:blipFill>
                    <a:blip r:embed="rId6"/>
                    <a:stretch>
                      <a:fillRect/>
                    </a:stretch>
                  </pic:blipFill>
                  <pic:spPr>
                    <a:xfrm>
                      <a:off x="0" y="0"/>
                      <a:ext cx="2536190" cy="1283970"/>
                    </a:xfrm>
                    <a:prstGeom prst="rect">
                      <a:avLst/>
                    </a:prstGeom>
                  </pic:spPr>
                </pic:pic>
              </a:graphicData>
            </a:graphic>
          </wp:inline>
        </w:drawing>
      </w:r>
    </w:p>
    <w:p w14:paraId="23E6B768">
      <w:pPr>
        <w:rPr>
          <w:rFonts w:hint="default"/>
          <w:lang w:val="en-IN"/>
        </w:rPr>
      </w:pPr>
    </w:p>
    <w:p w14:paraId="5B674E43">
      <w:pPr>
        <w:rPr>
          <w:rFonts w:hint="default"/>
          <w:lang w:val="en-IN"/>
        </w:rPr>
      </w:pPr>
      <w:r>
        <w:rPr>
          <w:rFonts w:hint="default"/>
          <w:lang w:val="en-IN"/>
        </w:rPr>
        <w:drawing>
          <wp:inline distT="0" distB="0" distL="114300" distR="114300">
            <wp:extent cx="2276475" cy="1501775"/>
            <wp:effectExtent l="0" t="0" r="9525" b="6985"/>
            <wp:docPr id="19" name="Picture 1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0"/>
                    <pic:cNvPicPr>
                      <a:picLocks noChangeAspect="1"/>
                    </pic:cNvPicPr>
                  </pic:nvPicPr>
                  <pic:blipFill>
                    <a:blip r:embed="rId7"/>
                    <a:stretch>
                      <a:fillRect/>
                    </a:stretch>
                  </pic:blipFill>
                  <pic:spPr>
                    <a:xfrm>
                      <a:off x="0" y="0"/>
                      <a:ext cx="2276475" cy="1501775"/>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2552700" cy="1927860"/>
            <wp:effectExtent l="0" t="0" r="7620" b="7620"/>
            <wp:docPr id="20" name="Picture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8"/>
                    <pic:cNvPicPr>
                      <a:picLocks noChangeAspect="1"/>
                    </pic:cNvPicPr>
                  </pic:nvPicPr>
                  <pic:blipFill>
                    <a:blip r:embed="rId8"/>
                    <a:stretch>
                      <a:fillRect/>
                    </a:stretch>
                  </pic:blipFill>
                  <pic:spPr>
                    <a:xfrm>
                      <a:off x="0" y="0"/>
                      <a:ext cx="2552700" cy="1927860"/>
                    </a:xfrm>
                    <a:prstGeom prst="rect">
                      <a:avLst/>
                    </a:prstGeom>
                  </pic:spPr>
                </pic:pic>
              </a:graphicData>
            </a:graphic>
          </wp:inline>
        </w:drawing>
      </w:r>
    </w:p>
    <w:p w14:paraId="71A11D74">
      <w:pPr>
        <w:rPr>
          <w:rFonts w:hint="default"/>
          <w:lang w:val="en-IN"/>
        </w:rPr>
      </w:pPr>
    </w:p>
    <w:p w14:paraId="12FC6D5E">
      <w:pPr>
        <w:rPr>
          <w:rFonts w:hint="default"/>
          <w:lang w:val="en-IN"/>
        </w:rPr>
      </w:pPr>
    </w:p>
    <w:p w14:paraId="7C89C180">
      <w:pPr>
        <w:rPr>
          <w:rFonts w:hint="default"/>
          <w:lang w:val="en-IN"/>
        </w:rPr>
      </w:pPr>
      <w:r>
        <w:rPr>
          <w:rFonts w:hint="default"/>
          <w:lang w:val="en-IN"/>
        </w:rPr>
        <w:drawing>
          <wp:inline distT="0" distB="0" distL="114300" distR="114300">
            <wp:extent cx="2918460" cy="1714500"/>
            <wp:effectExtent l="0" t="0" r="7620" b="7620"/>
            <wp:docPr id="22" name="Picture 2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0"/>
                    <pic:cNvPicPr>
                      <a:picLocks noChangeAspect="1"/>
                    </pic:cNvPicPr>
                  </pic:nvPicPr>
                  <pic:blipFill>
                    <a:blip r:embed="rId9"/>
                    <a:stretch>
                      <a:fillRect/>
                    </a:stretch>
                  </pic:blipFill>
                  <pic:spPr>
                    <a:xfrm>
                      <a:off x="0" y="0"/>
                      <a:ext cx="2918460" cy="1714500"/>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2040890" cy="1731010"/>
            <wp:effectExtent l="0" t="0" r="1270" b="6350"/>
            <wp:docPr id="24" name="Picture 2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3"/>
                    <pic:cNvPicPr>
                      <a:picLocks noChangeAspect="1"/>
                    </pic:cNvPicPr>
                  </pic:nvPicPr>
                  <pic:blipFill>
                    <a:blip r:embed="rId10"/>
                    <a:stretch>
                      <a:fillRect/>
                    </a:stretch>
                  </pic:blipFill>
                  <pic:spPr>
                    <a:xfrm>
                      <a:off x="0" y="0"/>
                      <a:ext cx="2040890" cy="1731010"/>
                    </a:xfrm>
                    <a:prstGeom prst="rect">
                      <a:avLst/>
                    </a:prstGeom>
                  </pic:spPr>
                </pic:pic>
              </a:graphicData>
            </a:graphic>
          </wp:inline>
        </w:drawing>
      </w:r>
      <w:r>
        <w:rPr>
          <w:rFonts w:hint="default"/>
          <w:lang w:val="en-IN"/>
        </w:rPr>
        <w:drawing>
          <wp:inline distT="0" distB="0" distL="114300" distR="114300">
            <wp:extent cx="2894330" cy="1726565"/>
            <wp:effectExtent l="0" t="0" r="1270" b="10795"/>
            <wp:docPr id="23" name="Picture 2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6"/>
                    <pic:cNvPicPr>
                      <a:picLocks noChangeAspect="1"/>
                    </pic:cNvPicPr>
                  </pic:nvPicPr>
                  <pic:blipFill>
                    <a:blip r:embed="rId11"/>
                    <a:stretch>
                      <a:fillRect/>
                    </a:stretch>
                  </pic:blipFill>
                  <pic:spPr>
                    <a:xfrm>
                      <a:off x="0" y="0"/>
                      <a:ext cx="2894330" cy="1726565"/>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2178050" cy="1637030"/>
            <wp:effectExtent l="0" t="0" r="1270" b="8890"/>
            <wp:docPr id="25" name="Picture 25"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30"/>
                    <pic:cNvPicPr>
                      <a:picLocks noChangeAspect="1"/>
                    </pic:cNvPicPr>
                  </pic:nvPicPr>
                  <pic:blipFill>
                    <a:blip r:embed="rId12"/>
                    <a:stretch>
                      <a:fillRect/>
                    </a:stretch>
                  </pic:blipFill>
                  <pic:spPr>
                    <a:xfrm>
                      <a:off x="0" y="0"/>
                      <a:ext cx="2178050" cy="1637030"/>
                    </a:xfrm>
                    <a:prstGeom prst="rect">
                      <a:avLst/>
                    </a:prstGeom>
                  </pic:spPr>
                </pic:pic>
              </a:graphicData>
            </a:graphic>
          </wp:inline>
        </w:drawing>
      </w:r>
    </w:p>
    <w:p w14:paraId="5956A353">
      <w:pPr>
        <w:rPr>
          <w:rFonts w:hint="default"/>
          <w:lang w:val="en-IN"/>
        </w:rPr>
      </w:pPr>
    </w:p>
    <w:p w14:paraId="7FF291C7">
      <w:pPr>
        <w:rPr>
          <w:rFonts w:hint="default"/>
          <w:lang w:val="en-IN"/>
        </w:rPr>
      </w:pPr>
    </w:p>
    <w:p w14:paraId="2EAB709D">
      <w:pPr>
        <w:rPr>
          <w:rFonts w:hint="default"/>
          <w:lang w:val="en-IN"/>
        </w:rPr>
      </w:pPr>
    </w:p>
    <w:p w14:paraId="05744FF5">
      <w:pPr>
        <w:rPr>
          <w:rFonts w:hint="default" w:ascii="Times New Roman" w:hAnsi="Times New Roman" w:cs="Times New Roman"/>
          <w:lang w:val="en-IN"/>
        </w:rPr>
      </w:pPr>
      <w:r>
        <w:rPr>
          <w:rFonts w:hint="default" w:ascii="Times New Roman" w:hAnsi="Times New Roman" w:cs="Times New Roman"/>
          <w:lang w:val="en-IN"/>
        </w:rPr>
        <w:t>OUR FACILITIES:</w:t>
      </w:r>
    </w:p>
    <w:p w14:paraId="52652F2E">
      <w:pPr>
        <w:pStyle w:val="3"/>
        <w:keepNext w:val="0"/>
        <w:keepLines w:val="0"/>
        <w:widowControl/>
        <w:suppressLineNumbers w:val="0"/>
        <w:rPr>
          <w:rFonts w:hint="default" w:ascii="Times New Roman" w:hAnsi="Times New Roman" w:cs="Times New Roman"/>
          <w:u w:val="single"/>
        </w:rPr>
      </w:pPr>
      <w:r>
        <w:rPr>
          <w:rStyle w:val="8"/>
          <w:rFonts w:hint="default" w:ascii="Times New Roman" w:hAnsi="Times New Roman" w:cs="Times New Roman"/>
          <w:b/>
          <w:bCs/>
          <w:u w:val="single"/>
        </w:rPr>
        <w:t>Our Facilities</w:t>
      </w:r>
    </w:p>
    <w:p w14:paraId="49A65FB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Our manufacturing facility located at </w:t>
      </w:r>
      <w:r>
        <w:rPr>
          <w:rStyle w:val="8"/>
          <w:rFonts w:hint="default" w:ascii="Times New Roman" w:hAnsi="Times New Roman" w:cs="Times New Roman"/>
        </w:rPr>
        <w:t>Chincholi MIDC, Solapur</w:t>
      </w:r>
      <w:r>
        <w:rPr>
          <w:rFonts w:hint="default" w:ascii="Times New Roman" w:hAnsi="Times New Roman" w:cs="Times New Roman"/>
        </w:rPr>
        <w:t xml:space="preserve"> is equipped with modern infrastructure for the production of agrochemical active ingredients and formulations. The plant operates with a strong focus on quality, safety, and environmental compliance, supported by well-planned utilities, quality control systems, and trained technical manpower. Designed for efficiency and future expansion, our facility enables reliable and sustainable manufacturing operations.</w:t>
      </w:r>
    </w:p>
    <w:p w14:paraId="18113510">
      <w:pPr>
        <w:rPr>
          <w:rFonts w:hint="default"/>
          <w:lang w:val="en-IN"/>
        </w:rPr>
      </w:pPr>
    </w:p>
    <w:p w14:paraId="3B04497F">
      <w:pPr>
        <w:rPr>
          <w:rFonts w:hint="default"/>
          <w:lang w:val="en-IN"/>
        </w:rPr>
      </w:pPr>
    </w:p>
    <w:p w14:paraId="1ED7CA1D">
      <w:pPr>
        <w:rPr>
          <w:rFonts w:hint="default"/>
          <w:lang w:val="en-IN"/>
        </w:rPr>
      </w:pPr>
    </w:p>
    <w:p w14:paraId="6269AE92">
      <w:pPr>
        <w:rPr>
          <w:rFonts w:hint="default"/>
          <w:lang w:val="en-IN"/>
        </w:rPr>
      </w:pPr>
    </w:p>
    <w:p w14:paraId="42140B3D">
      <w:pPr>
        <w:pStyle w:val="3"/>
        <w:keepNext w:val="0"/>
        <w:keepLines w:val="0"/>
        <w:widowControl/>
        <w:suppressLineNumbers w:val="0"/>
        <w:rPr>
          <w:rFonts w:hint="default" w:ascii="Times New Roman" w:hAnsi="Times New Roman" w:cs="Times New Roman"/>
          <w:b/>
          <w:bCs/>
          <w:u w:val="single"/>
        </w:rPr>
      </w:pPr>
      <w:r>
        <w:rPr>
          <w:rStyle w:val="8"/>
          <w:rFonts w:hint="default" w:ascii="Times New Roman" w:hAnsi="Times New Roman" w:cs="Times New Roman"/>
          <w:b/>
          <w:bCs/>
          <w:u w:val="single"/>
        </w:rPr>
        <w:t>MD’s Mission Statement</w:t>
      </w:r>
    </w:p>
    <w:p w14:paraId="7E55AB20">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To provide visionary leadership that drives excellence, accountability, and innovation across the organization. My mission is to build a high-performance team, uphold the highest standards of quality, safety, and ethics, and steer the company toward sustainable growth while creating long-term value for customers, employees, and partners.</w:t>
      </w:r>
    </w:p>
    <w:p w14:paraId="02C1DA3E">
      <w:pPr>
        <w:pStyle w:val="7"/>
        <w:keepNext w:val="0"/>
        <w:keepLines w:val="0"/>
        <w:widowControl/>
        <w:suppressLineNumbers w:val="0"/>
        <w:rPr>
          <w:rFonts w:hint="default" w:ascii="Times New Roman" w:hAnsi="Times New Roman" w:cs="Times New Roman"/>
          <w:b w:val="0"/>
          <w:bCs w:val="0"/>
        </w:rPr>
      </w:pPr>
    </w:p>
    <w:p w14:paraId="22CA355F">
      <w:pPr>
        <w:pStyle w:val="7"/>
        <w:keepNext w:val="0"/>
        <w:keepLines w:val="0"/>
        <w:widowControl/>
        <w:suppressLineNumbers w:val="0"/>
        <w:rPr>
          <w:rFonts w:hint="default" w:ascii="Times New Roman" w:hAnsi="Times New Roman" w:cs="Times New Roman"/>
          <w:b w:val="0"/>
          <w:bCs w:val="0"/>
          <w:lang w:val="en-IN"/>
        </w:rPr>
      </w:pPr>
      <w:r>
        <w:rPr>
          <w:rFonts w:hint="default" w:ascii="Times New Roman" w:hAnsi="Times New Roman" w:cs="Times New Roman"/>
          <w:b w:val="0"/>
          <w:bCs w:val="0"/>
          <w:lang w:val="en-IN"/>
        </w:rPr>
        <w:t>PRODUCTS:-</w:t>
      </w:r>
    </w:p>
    <w:p w14:paraId="1B458B4C">
      <w:pPr>
        <w:pStyle w:val="7"/>
        <w:keepNext w:val="0"/>
        <w:keepLines w:val="0"/>
        <w:widowControl/>
        <w:suppressLineNumbers w:val="0"/>
        <w:rPr>
          <w:rStyle w:val="8"/>
          <w:u w:val="single"/>
        </w:rPr>
      </w:pPr>
      <w:r>
        <w:rPr>
          <w:rStyle w:val="8"/>
          <w:u w:val="single"/>
        </w:rPr>
        <w:t>Herbicide Actives / Technical &amp; Formulations:</w:t>
      </w:r>
    </w:p>
    <w:p w14:paraId="636DC19F">
      <w:pPr>
        <w:numPr>
          <w:ilvl w:val="0"/>
          <w:numId w:val="1"/>
        </w:numPr>
        <w:ind w:left="420" w:leftChars="0" w:hanging="420" w:firstLineChars="0"/>
        <w:rPr>
          <w:rFonts w:ascii="Times New Roman" w:hAnsi="Times New Roman" w:cs="Times New Roman"/>
          <w:b/>
          <w:bCs/>
          <w:sz w:val="22"/>
          <w:szCs w:val="22"/>
          <w:u w:val="single"/>
          <w:lang w:val="en-IN"/>
        </w:rPr>
      </w:pPr>
      <w:r>
        <w:rPr>
          <w:rFonts w:hint="default" w:ascii="Times New Roman" w:hAnsi="Times New Roman" w:cs="Times New Roman"/>
          <w:b w:val="0"/>
          <w:bCs w:val="0"/>
          <w:sz w:val="22"/>
          <w:szCs w:val="22"/>
          <w:u w:val="none"/>
          <w:lang w:val="en-IN"/>
        </w:rPr>
        <w:t>METRIBUZIN</w:t>
      </w:r>
    </w:p>
    <w:p w14:paraId="3FB64604">
      <w:pPr>
        <w:numPr>
          <w:ilvl w:val="0"/>
          <w:numId w:val="1"/>
        </w:numPr>
        <w:ind w:left="420" w:leftChars="0" w:hanging="420" w:firstLineChars="0"/>
        <w:rPr>
          <w:rFonts w:ascii="Times New Roman" w:hAnsi="Times New Roman" w:cs="Times New Roman"/>
          <w:b/>
          <w:bCs/>
          <w:sz w:val="22"/>
          <w:szCs w:val="22"/>
          <w:u w:val="single"/>
          <w:lang w:val="en-IN"/>
        </w:rPr>
      </w:pPr>
      <w:r>
        <w:rPr>
          <w:rFonts w:hint="default" w:ascii="Times New Roman" w:hAnsi="Times New Roman" w:cs="Times New Roman"/>
          <w:b w:val="0"/>
          <w:bCs w:val="0"/>
          <w:sz w:val="22"/>
          <w:szCs w:val="22"/>
          <w:u w:val="none"/>
          <w:lang w:val="en-IN"/>
        </w:rPr>
        <w:t>TOPRAMEZONE</w:t>
      </w:r>
    </w:p>
    <w:p w14:paraId="618CBB8A">
      <w:pPr>
        <w:numPr>
          <w:ilvl w:val="0"/>
          <w:numId w:val="1"/>
        </w:numPr>
        <w:ind w:left="420" w:leftChars="0" w:hanging="420" w:firstLineChars="0"/>
        <w:rPr>
          <w:rFonts w:ascii="Times New Roman" w:hAnsi="Times New Roman" w:cs="Times New Roman"/>
          <w:b/>
          <w:bCs/>
          <w:sz w:val="22"/>
          <w:szCs w:val="22"/>
          <w:u w:val="single"/>
          <w:lang w:val="en-IN"/>
        </w:rPr>
      </w:pPr>
      <w:r>
        <w:rPr>
          <w:rFonts w:hint="default" w:ascii="Times New Roman" w:hAnsi="Times New Roman" w:cs="Times New Roman"/>
          <w:b w:val="0"/>
          <w:bCs w:val="0"/>
          <w:sz w:val="22"/>
          <w:szCs w:val="22"/>
          <w:u w:val="none"/>
          <w:lang w:val="en-IN"/>
        </w:rPr>
        <w:t>TEMBOTRIONE</w:t>
      </w:r>
    </w:p>
    <w:p w14:paraId="202FC737">
      <w:pPr>
        <w:numPr>
          <w:ilvl w:val="0"/>
          <w:numId w:val="1"/>
        </w:numPr>
        <w:ind w:left="420" w:leftChars="0" w:hanging="420" w:firstLineChars="0"/>
        <w:rPr>
          <w:rFonts w:ascii="Times New Roman" w:hAnsi="Times New Roman" w:cs="Times New Roman"/>
          <w:b/>
          <w:bCs/>
          <w:sz w:val="22"/>
          <w:szCs w:val="22"/>
          <w:u w:val="single"/>
          <w:lang w:val="en-IN"/>
        </w:rPr>
      </w:pPr>
      <w:r>
        <w:rPr>
          <w:rFonts w:hint="default" w:ascii="Times New Roman" w:hAnsi="Times New Roman" w:cs="Times New Roman"/>
          <w:b w:val="0"/>
          <w:bCs w:val="0"/>
          <w:sz w:val="22"/>
          <w:szCs w:val="22"/>
          <w:u w:val="none"/>
          <w:lang w:val="en-IN"/>
        </w:rPr>
        <w:t>CLODINAFOP-PROPARGYL</w:t>
      </w:r>
    </w:p>
    <w:p w14:paraId="6349DDB2">
      <w:pPr>
        <w:numPr>
          <w:ilvl w:val="0"/>
          <w:numId w:val="1"/>
        </w:numPr>
        <w:ind w:left="420" w:leftChars="0" w:hanging="420" w:firstLineChars="0"/>
        <w:rPr>
          <w:rFonts w:ascii="Times New Roman" w:hAnsi="Times New Roman" w:cs="Times New Roman"/>
          <w:b/>
          <w:bCs/>
          <w:sz w:val="22"/>
          <w:szCs w:val="22"/>
          <w:u w:val="single"/>
          <w:lang w:val="en-IN"/>
        </w:rPr>
      </w:pPr>
      <w:r>
        <w:rPr>
          <w:rFonts w:hint="default" w:ascii="Times New Roman" w:hAnsi="Times New Roman" w:cs="Times New Roman"/>
          <w:b w:val="0"/>
          <w:bCs w:val="0"/>
          <w:sz w:val="22"/>
          <w:szCs w:val="22"/>
          <w:u w:val="none"/>
          <w:lang w:val="en-IN"/>
        </w:rPr>
        <w:t>QUZALOFOP-ETHYL</w:t>
      </w:r>
    </w:p>
    <w:p w14:paraId="4D90C381">
      <w:pPr>
        <w:numPr>
          <w:ilvl w:val="0"/>
          <w:numId w:val="0"/>
        </w:numPr>
        <w:ind w:leftChars="0"/>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lang w:val="en-IN"/>
        </w:rPr>
        <w:t>Formulation list:</w:t>
      </w:r>
    </w:p>
    <w:tbl>
      <w:tblPr>
        <w:tblStyle w:val="5"/>
        <w:tblW w:w="865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79"/>
        <w:gridCol w:w="7776"/>
      </w:tblGrid>
      <w:tr w14:paraId="281FD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75A8505">
            <w:pPr>
              <w:keepNext w:val="0"/>
              <w:keepLines w:val="0"/>
              <w:widowControl/>
              <w:suppressLineNumbers w:val="0"/>
              <w:jc w:val="center"/>
              <w:textAlignment w:val="bottom"/>
              <w:rPr>
                <w:rFonts w:ascii="Bookman Old Style" w:hAnsi="Bookman Old Style" w:eastAsia="Bookman Old Style" w:cs="Bookman Old Style"/>
                <w:b/>
                <w:bCs/>
                <w:i w:val="0"/>
                <w:iCs w:val="0"/>
                <w:color w:val="000000"/>
                <w:sz w:val="20"/>
                <w:szCs w:val="20"/>
                <w:u w:val="none"/>
              </w:rPr>
            </w:pPr>
            <w:r>
              <w:rPr>
                <w:rFonts w:hint="default" w:ascii="Bookman Old Style" w:hAnsi="Bookman Old Style" w:eastAsia="Bookman Old Style" w:cs="Bookman Old Style"/>
                <w:b/>
                <w:bCs/>
                <w:i w:val="0"/>
                <w:iCs w:val="0"/>
                <w:color w:val="000000"/>
                <w:kern w:val="0"/>
                <w:sz w:val="20"/>
                <w:szCs w:val="20"/>
                <w:u w:val="none"/>
                <w:lang w:val="en-US" w:eastAsia="zh-CN" w:bidi="ar"/>
              </w:rPr>
              <w:t>Sr No.</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E63510D">
            <w:pPr>
              <w:keepNext w:val="0"/>
              <w:keepLines w:val="0"/>
              <w:widowControl/>
              <w:suppressLineNumbers w:val="0"/>
              <w:jc w:val="center"/>
              <w:textAlignment w:val="bottom"/>
              <w:rPr>
                <w:rFonts w:hint="default" w:ascii="Bookman Old Style" w:hAnsi="Bookman Old Style" w:eastAsia="Bookman Old Style" w:cs="Bookman Old Style"/>
                <w:b/>
                <w:bCs/>
                <w:i w:val="0"/>
                <w:iCs w:val="0"/>
                <w:color w:val="000000"/>
                <w:sz w:val="20"/>
                <w:szCs w:val="20"/>
                <w:u w:val="none"/>
              </w:rPr>
            </w:pPr>
            <w:r>
              <w:rPr>
                <w:rFonts w:hint="default" w:ascii="Bookman Old Style" w:hAnsi="Bookman Old Style" w:eastAsia="Bookman Old Style" w:cs="Bookman Old Style"/>
                <w:b/>
                <w:bCs/>
                <w:i w:val="0"/>
                <w:iCs w:val="0"/>
                <w:color w:val="000000"/>
                <w:kern w:val="0"/>
                <w:sz w:val="20"/>
                <w:szCs w:val="20"/>
                <w:u w:val="none"/>
                <w:lang w:val="en-US" w:eastAsia="zh-CN" w:bidi="ar"/>
              </w:rPr>
              <w:t>Product Name</w:t>
            </w:r>
          </w:p>
        </w:tc>
      </w:tr>
      <w:tr w14:paraId="57F44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BA9CF5">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61A6642">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Clodinafop-propargyl</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15% W.P.</w:t>
            </w:r>
          </w:p>
        </w:tc>
      </w:tr>
      <w:tr w14:paraId="4CF81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F14967">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2)</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6BD03F9">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Quizalofop-ethyl</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10% EC</w:t>
            </w:r>
          </w:p>
        </w:tc>
      </w:tr>
      <w:tr w14:paraId="53D93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E5A1B2">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3)</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D02C5D1">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 xml:space="preserve">Tembotrione </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34.4% SC</w:t>
            </w:r>
          </w:p>
        </w:tc>
      </w:tr>
      <w:tr w14:paraId="138BA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AAABB3">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4)</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DE4BAC2">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 xml:space="preserve">Topramezone </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336gL SC</w:t>
            </w:r>
          </w:p>
        </w:tc>
      </w:tr>
      <w:tr w14:paraId="5CA67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1C61CF">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5)</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2CC94F9">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Haloxyfop-R-methyl</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10.5% EC</w:t>
            </w:r>
          </w:p>
        </w:tc>
      </w:tr>
      <w:tr w14:paraId="5F1B3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4F6F35">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6)</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814CB27">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Pendimethaline</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30%EC</w:t>
            </w:r>
          </w:p>
        </w:tc>
      </w:tr>
      <w:tr w14:paraId="71F25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1343F7">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7)</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22F75B2">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Sulfentrazone</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39.6% SC</w:t>
            </w:r>
          </w:p>
        </w:tc>
      </w:tr>
      <w:tr w14:paraId="3D297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CA982C">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8)</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96C7E8B">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Pretilachlor</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50% EC</w:t>
            </w:r>
          </w:p>
        </w:tc>
      </w:tr>
      <w:tr w14:paraId="14E3A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ACB7DC">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9)</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843B390">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Paraquat dichloride</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24% SL</w:t>
            </w:r>
          </w:p>
        </w:tc>
      </w:tr>
      <w:tr w14:paraId="25CF2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59CE05">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10)</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B3CA9B5">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Halosulfurone-methyl</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75% WG</w:t>
            </w:r>
          </w:p>
        </w:tc>
      </w:tr>
      <w:tr w14:paraId="685D6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4A91F7">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11)</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12D842D">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Glyphosate</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41% SL</w:t>
            </w:r>
          </w:p>
        </w:tc>
      </w:tr>
      <w:tr w14:paraId="0074C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3AE155">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12)</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55761D7">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 xml:space="preserve">Bispyribac sodium </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10% SC</w:t>
            </w:r>
          </w:p>
        </w:tc>
      </w:tr>
      <w:tr w14:paraId="66025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AA7451">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13)</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6B0AFEB">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Atrazine</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50% W.P.</w:t>
            </w:r>
          </w:p>
        </w:tc>
      </w:tr>
      <w:tr w14:paraId="7B52D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1EED30">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14)</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84E1EF4">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lang w:val="en-IN"/>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Gulfosinate ammonium</w:t>
            </w:r>
            <w:r>
              <w:rPr>
                <w:rFonts w:hint="default" w:ascii="Bookman Old Style" w:hAnsi="Bookman Old Style" w:eastAsia="Bookman Old Style" w:cs="Bookman Old Style"/>
                <w:b w:val="0"/>
                <w:bCs w:val="0"/>
                <w:i w:val="0"/>
                <w:iCs w:val="0"/>
                <w:color w:val="000000"/>
                <w:kern w:val="0"/>
                <w:sz w:val="18"/>
                <w:szCs w:val="18"/>
                <w:u w:val="none"/>
                <w:lang w:val="en-IN" w:eastAsia="zh-CN" w:bidi="ar"/>
              </w:rPr>
              <w:t xml:space="preserve"> 13.5% SL</w:t>
            </w:r>
          </w:p>
        </w:tc>
      </w:tr>
      <w:tr w14:paraId="13B48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514560">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15)</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F74D394">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"Clodinafop propargyl 9% + Metribuzin 20% WP (w/w)"</w:t>
            </w:r>
          </w:p>
        </w:tc>
      </w:tr>
      <w:tr w14:paraId="5603E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DCDB1F">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16)</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06F0EFF">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"Topramezone 10g/l + Atrazine 300g/ I SC"</w:t>
            </w:r>
          </w:p>
        </w:tc>
      </w:tr>
      <w:tr w14:paraId="388A3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C41B48">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17)</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8234514">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"Fomesafen 12% + Quizalofop ethyl 3% SC"</w:t>
            </w:r>
          </w:p>
        </w:tc>
      </w:tr>
      <w:tr w14:paraId="4330D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3209DE">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18)</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0D86005">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Propaquizafop 10% EC"</w:t>
            </w:r>
          </w:p>
        </w:tc>
      </w:tr>
      <w:tr w14:paraId="2061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7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1BB4C8">
            <w:pPr>
              <w:keepNext w:val="0"/>
              <w:keepLines w:val="0"/>
              <w:widowControl/>
              <w:suppressLineNumbers w:val="0"/>
              <w:jc w:val="center"/>
              <w:textAlignment w:val="center"/>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19)</w:t>
            </w:r>
          </w:p>
        </w:tc>
        <w:tc>
          <w:tcPr>
            <w:tcW w:w="7776"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2A5A5F4">
            <w:pPr>
              <w:keepNext w:val="0"/>
              <w:keepLines w:val="0"/>
              <w:widowControl/>
              <w:suppressLineNumbers w:val="0"/>
              <w:jc w:val="left"/>
              <w:textAlignment w:val="bottom"/>
              <w:rPr>
                <w:rFonts w:hint="default" w:ascii="Bookman Old Style" w:hAnsi="Bookman Old Style" w:eastAsia="Bookman Old Style" w:cs="Bookman Old Style"/>
                <w:b w:val="0"/>
                <w:bCs w:val="0"/>
                <w:i w:val="0"/>
                <w:iCs w:val="0"/>
                <w:color w:val="000000"/>
                <w:sz w:val="18"/>
                <w:szCs w:val="18"/>
                <w:u w:val="none"/>
              </w:rPr>
            </w:pPr>
            <w:r>
              <w:rPr>
                <w:rFonts w:hint="default" w:ascii="Bookman Old Style" w:hAnsi="Bookman Old Style" w:eastAsia="Bookman Old Style" w:cs="Bookman Old Style"/>
                <w:b w:val="0"/>
                <w:bCs w:val="0"/>
                <w:i w:val="0"/>
                <w:iCs w:val="0"/>
                <w:color w:val="000000"/>
                <w:kern w:val="0"/>
                <w:sz w:val="18"/>
                <w:szCs w:val="18"/>
                <w:u w:val="none"/>
                <w:lang w:val="en-US" w:eastAsia="zh-CN" w:bidi="ar"/>
              </w:rPr>
              <w:t>Quizalofop ethyl 7.5% + Imazethapyr 15% w/w EC"</w:t>
            </w:r>
          </w:p>
        </w:tc>
      </w:tr>
    </w:tbl>
    <w:p w14:paraId="2D2CEEA5">
      <w:pPr>
        <w:pStyle w:val="7"/>
        <w:keepNext w:val="0"/>
        <w:keepLines w:val="0"/>
        <w:widowControl/>
        <w:suppressLineNumbers w:val="0"/>
        <w:rPr>
          <w:rFonts w:hint="default" w:ascii="Times New Roman" w:hAnsi="Times New Roman" w:cs="Times New Roman"/>
          <w:b w:val="0"/>
          <w:bCs w:val="0"/>
          <w:lang w:val="en-IN"/>
        </w:rPr>
      </w:pPr>
    </w:p>
    <w:p w14:paraId="72C53F19">
      <w:pPr>
        <w:rPr>
          <w:rFonts w:hint="default"/>
          <w:lang w:val="en-IN"/>
        </w:rPr>
      </w:pPr>
    </w:p>
    <w:p w14:paraId="00D6D643">
      <w:pPr>
        <w:rPr>
          <w:rFonts w:hint="default"/>
          <w:lang w:val="en-IN"/>
        </w:rPr>
      </w:pPr>
    </w:p>
    <w:p w14:paraId="7D63C564">
      <w:pPr>
        <w:rPr>
          <w:rFonts w:hint="default"/>
          <w:lang w:val="en-IN"/>
        </w:rPr>
      </w:pPr>
    </w:p>
    <w:p w14:paraId="315DCDA2">
      <w:pPr>
        <w:rPr>
          <w:rFonts w:hint="default"/>
          <w:lang w:val="en-IN"/>
        </w:rPr>
      </w:pPr>
    </w:p>
    <w:p w14:paraId="75AB33B4">
      <w:pPr>
        <w:rPr>
          <w:rFonts w:hint="default"/>
          <w:lang w:val="en-IN"/>
        </w:rPr>
      </w:pPr>
    </w:p>
    <w:p w14:paraId="2E4E39E9">
      <w:pPr>
        <w:rPr>
          <w:rFonts w:hint="default"/>
          <w:lang w:val="en-IN"/>
        </w:rPr>
      </w:pPr>
    </w:p>
    <w:p w14:paraId="1D6E15A0">
      <w:pPr>
        <w:pStyle w:val="2"/>
        <w:keepNext w:val="0"/>
        <w:keepLines w:val="0"/>
        <w:widowControl/>
        <w:suppressLineNumbers w:val="0"/>
        <w:rPr>
          <w:rFonts w:hint="default" w:ascii="Times New Roman" w:hAnsi="Times New Roman" w:cs="Times New Roman"/>
          <w:b/>
          <w:bCs/>
          <w:u w:val="single"/>
        </w:rPr>
      </w:pPr>
      <w:r>
        <w:rPr>
          <w:rFonts w:hint="default" w:ascii="Times New Roman" w:hAnsi="Times New Roman" w:cs="Times New Roman"/>
          <w:b/>
          <w:bCs/>
          <w:u w:val="single"/>
        </w:rPr>
        <w:t>Vision from the Managing Director</w:t>
      </w:r>
    </w:p>
    <w:p w14:paraId="1A1D2AAD">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At </w:t>
      </w:r>
      <w:r>
        <w:rPr>
          <w:rStyle w:val="8"/>
          <w:rFonts w:hint="default" w:ascii="Times New Roman" w:hAnsi="Times New Roman" w:cs="Times New Roman"/>
          <w:b w:val="0"/>
          <w:bCs w:val="0"/>
        </w:rPr>
        <w:t>Bramha Chemicals Pvt. Ltd.</w:t>
      </w:r>
      <w:r>
        <w:rPr>
          <w:rFonts w:hint="default" w:ascii="Times New Roman" w:hAnsi="Times New Roman" w:cs="Times New Roman"/>
          <w:b w:val="0"/>
          <w:bCs w:val="0"/>
        </w:rPr>
        <w:t>, our vision is to contribute meaningfully to sustainable agriculture by delivering high-quality, reliable, and innovative agrochemical solutions that empower farmers and strengthen food security.</w:t>
      </w:r>
    </w:p>
    <w:p w14:paraId="02694D9A">
      <w:pPr>
        <w:pStyle w:val="7"/>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I strongly believe that the future of agriculture lies in </w:t>
      </w:r>
      <w:r>
        <w:rPr>
          <w:rStyle w:val="8"/>
          <w:rFonts w:hint="default" w:ascii="Times New Roman" w:hAnsi="Times New Roman" w:eastAsia="SimSun" w:cs="Times New Roman"/>
          <w:b w:val="0"/>
          <w:bCs w:val="0"/>
          <w:sz w:val="24"/>
          <w:szCs w:val="24"/>
        </w:rPr>
        <w:t>science-driven products, responsible manufacturing, and environmental stewardship</w:t>
      </w:r>
      <w:r>
        <w:rPr>
          <w:rFonts w:hint="default" w:ascii="Times New Roman" w:hAnsi="Times New Roman" w:eastAsia="SimSun" w:cs="Times New Roman"/>
          <w:b w:val="0"/>
          <w:bCs w:val="0"/>
          <w:sz w:val="24"/>
          <w:szCs w:val="24"/>
        </w:rPr>
        <w:t>. Our focus has always been on building a robust product portfolio that meets evolving agronomic needs while adhering to the highest standards of safety, quality, and regulatory compliance.</w:t>
      </w:r>
    </w:p>
    <w:p w14:paraId="3A4951F8">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We are committed to expanding our capabilities across herbicides, insecticides, and formulations through continuous investment in technology, infrastructure, and skilled talent. Innovation and operational excellence remain at the core of our growth strategy, enabling us to serve both domestic and international markets with consistency and confidence.</w:t>
      </w:r>
    </w:p>
    <w:p w14:paraId="19B197C5">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At Bramha Chemicals, integrity, transparency, and long-term partnerships guide every decision we make. We aim not only to grow as an organization but also to create lasting value for farmers, customers, employees, and stakeholders.</w:t>
      </w:r>
    </w:p>
    <w:p w14:paraId="7E4E89FE">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we move forward, our vision is clear:</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to be a </w:t>
      </w:r>
      <w:r>
        <w:rPr>
          <w:rStyle w:val="8"/>
          <w:rFonts w:hint="default" w:ascii="Times New Roman" w:hAnsi="Times New Roman" w:cs="Times New Roman"/>
          <w:b w:val="0"/>
          <w:bCs w:val="0"/>
        </w:rPr>
        <w:t>trusted agrochemical manufacturing partner</w:t>
      </w:r>
      <w:r>
        <w:rPr>
          <w:rFonts w:hint="default" w:ascii="Times New Roman" w:hAnsi="Times New Roman" w:cs="Times New Roman"/>
          <w:b w:val="0"/>
          <w:bCs w:val="0"/>
        </w:rPr>
        <w:t>, delivering solutions that support productivity, sustainability, and progress in agriculture.</w:t>
      </w:r>
    </w:p>
    <w:p w14:paraId="0C170DA7">
      <w:pPr>
        <w:pStyle w:val="7"/>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Together, we grow — responsibly and sustainably.</w:t>
      </w:r>
    </w:p>
    <w:p w14:paraId="7FEEBDE6">
      <w:pPr>
        <w:pStyle w:val="7"/>
        <w:keepNext w:val="0"/>
        <w:keepLines w:val="0"/>
        <w:widowControl/>
        <w:suppressLineNumbers w:val="0"/>
        <w:rPr>
          <w:rStyle w:val="8"/>
          <w:rFonts w:hint="default" w:ascii="Times New Roman" w:hAnsi="Times New Roman" w:cs="Times New Roman"/>
          <w:b w:val="0"/>
          <w:bCs w:val="0"/>
        </w:rPr>
      </w:pPr>
    </w:p>
    <w:p w14:paraId="3200CEBB">
      <w:pPr>
        <w:rPr>
          <w:rStyle w:val="8"/>
          <w:rFonts w:hint="default" w:ascii="Times New Roman" w:hAnsi="Times New Roman" w:eastAsia="SimSun" w:cs="Times New Roman"/>
          <w:b w:val="0"/>
          <w:bCs w:val="0"/>
          <w:sz w:val="24"/>
          <w:szCs w:val="24"/>
        </w:rPr>
      </w:pPr>
      <w:r>
        <w:rPr>
          <w:rStyle w:val="8"/>
          <w:rFonts w:hint="default" w:ascii="Times New Roman" w:hAnsi="Times New Roman" w:eastAsia="SimSun" w:cs="Times New Roman"/>
          <w:b w:val="0"/>
          <w:bCs w:val="0"/>
          <w:sz w:val="24"/>
          <w:szCs w:val="24"/>
        </w:rPr>
        <w:t>Managing Director</w:t>
      </w:r>
      <w:r>
        <w:rPr>
          <w:rFonts w:hint="default" w:ascii="Times New Roman" w:hAnsi="Times New Roman" w:eastAsia="SimSun" w:cs="Times New Roman"/>
          <w:b w:val="0"/>
          <w:bCs w:val="0"/>
          <w:sz w:val="24"/>
          <w:szCs w:val="24"/>
        </w:rPr>
        <w:br w:type="textWrapping"/>
      </w:r>
      <w:r>
        <w:rPr>
          <w:rStyle w:val="8"/>
          <w:rFonts w:hint="default" w:ascii="Times New Roman" w:hAnsi="Times New Roman" w:eastAsia="SimSun" w:cs="Times New Roman"/>
          <w:b w:val="0"/>
          <w:bCs w:val="0"/>
          <w:sz w:val="24"/>
          <w:szCs w:val="24"/>
        </w:rPr>
        <w:t>Bramha Chemicals Pvt. Ltd.</w:t>
      </w:r>
    </w:p>
    <w:p w14:paraId="49C0F166">
      <w:pPr>
        <w:rPr>
          <w:rStyle w:val="8"/>
          <w:rFonts w:hint="default" w:ascii="Times New Roman" w:hAnsi="Times New Roman" w:eastAsia="SimSun" w:cs="Times New Roman"/>
          <w:b w:val="0"/>
          <w:bCs w:val="0"/>
          <w:sz w:val="24"/>
          <w:szCs w:val="24"/>
        </w:rPr>
      </w:pPr>
    </w:p>
    <w:p w14:paraId="6210E6F1">
      <w:pPr>
        <w:rPr>
          <w:rStyle w:val="8"/>
          <w:rFonts w:hint="default" w:ascii="Times New Roman" w:hAnsi="Times New Roman" w:eastAsia="SimSun" w:cs="Times New Roman"/>
          <w:b w:val="0"/>
          <w:bCs w:val="0"/>
          <w:sz w:val="24"/>
          <w:szCs w:val="24"/>
        </w:rPr>
      </w:pPr>
    </w:p>
    <w:p w14:paraId="680E7FB2">
      <w:pPr>
        <w:rPr>
          <w:rStyle w:val="8"/>
          <w:rFonts w:hint="default" w:ascii="Times New Roman" w:hAnsi="Times New Roman" w:eastAsia="SimSun" w:cs="Times New Roman"/>
          <w:b w:val="0"/>
          <w:bCs w:val="0"/>
          <w:sz w:val="24"/>
          <w:szCs w:val="24"/>
        </w:rPr>
      </w:pPr>
    </w:p>
    <w:p w14:paraId="4372B2C6">
      <w:pPr>
        <w:rPr>
          <w:rStyle w:val="8"/>
          <w:rFonts w:hint="default" w:ascii="Times New Roman" w:hAnsi="Times New Roman" w:eastAsia="SimSun" w:cs="Times New Roman"/>
          <w:b w:val="0"/>
          <w:bCs w:val="0"/>
          <w:sz w:val="24"/>
          <w:szCs w:val="24"/>
        </w:rPr>
      </w:pPr>
    </w:p>
    <w:p w14:paraId="0A37D3C4">
      <w:pPr>
        <w:rPr>
          <w:rStyle w:val="8"/>
          <w:rFonts w:hint="default" w:ascii="Times New Roman" w:hAnsi="Times New Roman" w:eastAsia="SimSun" w:cs="Times New Roman"/>
          <w:b/>
          <w:bCs/>
          <w:sz w:val="24"/>
          <w:szCs w:val="24"/>
          <w:lang w:val="en-IN"/>
        </w:rPr>
      </w:pPr>
      <w:r>
        <w:rPr>
          <w:rStyle w:val="8"/>
          <w:rFonts w:hint="default" w:ascii="Times New Roman" w:hAnsi="Times New Roman" w:eastAsia="SimSun" w:cs="Times New Roman"/>
          <w:b/>
          <w:bCs/>
          <w:sz w:val="24"/>
          <w:szCs w:val="24"/>
          <w:lang w:val="en-IN"/>
        </w:rPr>
        <w:t>ADDRESS:</w:t>
      </w:r>
    </w:p>
    <w:p w14:paraId="65BAB22A">
      <w:pPr>
        <w:rPr>
          <w:rStyle w:val="8"/>
          <w:rFonts w:hint="default" w:ascii="Times New Roman" w:hAnsi="Times New Roman" w:eastAsia="SimSun" w:cs="Times New Roman"/>
          <w:b/>
          <w:bCs/>
          <w:sz w:val="24"/>
          <w:szCs w:val="24"/>
          <w:lang w:val="en-IN"/>
        </w:rPr>
      </w:pPr>
    </w:p>
    <w:p w14:paraId="26C484A8">
      <w:pPr>
        <w:rPr>
          <w:rStyle w:val="8"/>
          <w:rFonts w:hint="default" w:ascii="Times New Roman" w:hAnsi="Times New Roman" w:eastAsia="SimSun" w:cs="Times New Roman"/>
          <w:b/>
          <w:bCs/>
          <w:sz w:val="24"/>
          <w:szCs w:val="24"/>
          <w:lang w:val="en-IN"/>
        </w:rPr>
      </w:pPr>
      <w:r>
        <w:rPr>
          <w:rStyle w:val="8"/>
          <w:rFonts w:hint="default" w:ascii="Times New Roman" w:hAnsi="Times New Roman" w:eastAsia="SimSun" w:cs="Times New Roman"/>
          <w:b/>
          <w:bCs/>
          <w:sz w:val="24"/>
          <w:szCs w:val="24"/>
          <w:lang w:val="en-IN"/>
        </w:rPr>
        <w:t>Factory Address:- Plot No. F3 Chincholi MIDC, Solapur ,Maharashtra-413255</w:t>
      </w:r>
    </w:p>
    <w:p w14:paraId="178BA131">
      <w:pPr>
        <w:rPr>
          <w:rStyle w:val="8"/>
          <w:rFonts w:hint="default" w:ascii="Times New Roman" w:hAnsi="Times New Roman" w:eastAsia="SimSun" w:cs="Times New Roman"/>
          <w:b/>
          <w:bCs/>
          <w:sz w:val="24"/>
          <w:szCs w:val="24"/>
          <w:lang w:val="en-IN"/>
        </w:rPr>
      </w:pPr>
      <w:r>
        <w:rPr>
          <w:rStyle w:val="8"/>
          <w:rFonts w:hint="default" w:ascii="Times New Roman" w:hAnsi="Times New Roman" w:eastAsia="SimSun" w:cs="Times New Roman"/>
          <w:b/>
          <w:bCs/>
          <w:sz w:val="24"/>
          <w:szCs w:val="24"/>
          <w:lang w:val="en-IN"/>
        </w:rPr>
        <w:t>Office address:- 167,Budhwar peth, Gala No.-11 Mehta Tower, Solapur-413002</w:t>
      </w:r>
    </w:p>
    <w:p w14:paraId="35639AC4">
      <w:pPr>
        <w:numPr>
          <w:ilvl w:val="0"/>
          <w:numId w:val="2"/>
        </w:numPr>
        <w:rPr>
          <w:rStyle w:val="8"/>
          <w:rFonts w:hint="default" w:ascii="Times New Roman" w:hAnsi="Times New Roman" w:eastAsia="SimSun" w:cs="Times New Roman"/>
          <w:b w:val="0"/>
          <w:bCs w:val="0"/>
          <w:sz w:val="24"/>
          <w:szCs w:val="24"/>
          <w:lang w:val="en-IN"/>
        </w:rPr>
      </w:pPr>
      <w:r>
        <w:rPr>
          <w:rStyle w:val="8"/>
          <w:rFonts w:hint="default" w:ascii="Times New Roman" w:hAnsi="Times New Roman" w:eastAsia="SimSun" w:cs="Times New Roman"/>
          <w:b/>
          <w:bCs/>
          <w:sz w:val="24"/>
          <w:szCs w:val="24"/>
          <w:lang w:val="en-IN"/>
        </w:rPr>
        <w:t xml:space="preserve">mail:- </w:t>
      </w:r>
      <w:r>
        <w:rPr>
          <w:rStyle w:val="8"/>
          <w:rFonts w:hint="default" w:ascii="Times New Roman" w:hAnsi="Times New Roman" w:eastAsia="SimSun" w:cs="Times New Roman"/>
          <w:b/>
          <w:bCs/>
          <w:sz w:val="24"/>
          <w:szCs w:val="24"/>
          <w:lang w:val="en-IN"/>
        </w:rPr>
        <w:fldChar w:fldCharType="begin"/>
      </w:r>
      <w:r>
        <w:rPr>
          <w:rStyle w:val="8"/>
          <w:rFonts w:hint="default" w:ascii="Times New Roman" w:hAnsi="Times New Roman" w:eastAsia="SimSun" w:cs="Times New Roman"/>
          <w:b/>
          <w:bCs/>
          <w:sz w:val="24"/>
          <w:szCs w:val="24"/>
          <w:lang w:val="en-IN"/>
        </w:rPr>
        <w:instrText xml:space="preserve"> HYPERLINK "mailto:bramhachemicals545@gmail.com" </w:instrText>
      </w:r>
      <w:r>
        <w:rPr>
          <w:rStyle w:val="8"/>
          <w:rFonts w:hint="default" w:ascii="Times New Roman" w:hAnsi="Times New Roman" w:eastAsia="SimSun" w:cs="Times New Roman"/>
          <w:b/>
          <w:bCs/>
          <w:sz w:val="24"/>
          <w:szCs w:val="24"/>
          <w:lang w:val="en-IN"/>
        </w:rPr>
        <w:fldChar w:fldCharType="separate"/>
      </w:r>
      <w:r>
        <w:rPr>
          <w:rStyle w:val="6"/>
          <w:rFonts w:hint="default" w:ascii="Times New Roman" w:hAnsi="Times New Roman" w:eastAsia="SimSun" w:cs="Times New Roman"/>
          <w:b/>
          <w:bCs/>
          <w:sz w:val="24"/>
          <w:szCs w:val="24"/>
          <w:lang w:val="en-IN"/>
        </w:rPr>
        <w:t>bramhachemicals545@gmail.com</w:t>
      </w:r>
      <w:r>
        <w:rPr>
          <w:rStyle w:val="8"/>
          <w:rFonts w:hint="default" w:ascii="Times New Roman" w:hAnsi="Times New Roman" w:eastAsia="SimSun" w:cs="Times New Roman"/>
          <w:b/>
          <w:bCs/>
          <w:sz w:val="24"/>
          <w:szCs w:val="24"/>
          <w:lang w:val="en-IN"/>
        </w:rPr>
        <w:fldChar w:fldCharType="end"/>
      </w:r>
      <w:bookmarkStart w:id="0" w:name="_GoBack"/>
      <w:bookmarkEnd w:id="0"/>
    </w:p>
    <w:p w14:paraId="74BFFB04">
      <w:pPr>
        <w:numPr>
          <w:numId w:val="0"/>
        </w:numPr>
        <w:rPr>
          <w:rStyle w:val="8"/>
          <w:rFonts w:hint="default" w:ascii="Times New Roman" w:hAnsi="Times New Roman" w:eastAsia="SimSun" w:cs="Times New Roman"/>
          <w:b w:val="0"/>
          <w:bCs w:val="0"/>
          <w:sz w:val="24"/>
          <w:szCs w:val="24"/>
          <w:lang w:val="en-IN"/>
        </w:rPr>
      </w:pPr>
    </w:p>
    <w:p w14:paraId="7148F354">
      <w:pPr>
        <w:pStyle w:val="7"/>
        <w:keepNext w:val="0"/>
        <w:keepLines w:val="0"/>
        <w:widowControl/>
        <w:suppressLineNumbers w:val="0"/>
        <w:rPr>
          <w:rStyle w:val="8"/>
          <w:rFonts w:hint="default" w:ascii="Times New Roman" w:hAnsi="Times New Roman" w:cs="Times New Roman"/>
          <w:b w:val="0"/>
          <w:bCs w:val="0"/>
        </w:rPr>
      </w:pPr>
    </w:p>
    <w:p w14:paraId="2C065BC8">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angal">
    <w:altName w:val="Segoe Print"/>
    <w:panose1 w:val="02040503050203030202"/>
    <w:charset w:val="00"/>
    <w:family w:val="roman"/>
    <w:pitch w:val="default"/>
    <w:sig w:usb0="00000000" w:usb1="00000000" w:usb2="00000000" w:usb3="00000000" w:csb0="00000001" w:csb1="00000000"/>
  </w:font>
  <w:font w:name="Bookman Old Style">
    <w:panose1 w:val="020506040505050202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D0F7C3"/>
    <w:multiLevelType w:val="singleLevel"/>
    <w:tmpl w:val="FCD0F7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613F8C6"/>
    <w:multiLevelType w:val="singleLevel"/>
    <w:tmpl w:val="7613F8C6"/>
    <w:lvl w:ilvl="0" w:tentative="0">
      <w:start w:val="5"/>
      <w:numFmt w:val="upperLetter"/>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7C29DD"/>
    <w:rsid w:val="0E1A3870"/>
    <w:rsid w:val="1A7C29DD"/>
    <w:rsid w:val="3E306B73"/>
    <w:rsid w:val="4090394E"/>
    <w:rsid w:val="5D2A1B0F"/>
    <w:rsid w:val="78D54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2026-01-07T06:24:00Z</dcterms:created>
  <dc:creator>BRIJ MOHAN TEWARI</dc:creator>
  <cp:lastModifiedBy>BRIJ MOHAN TEWARI</cp:lastModifiedBy>
  <dcterms:modified xsi:type="dcterms:W3CDTF">2026-01-07T06:59:16Z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9713B9AC795A4C32A951E602C95BEEBE_11</vt:lpwstr>
  </property>
</Properties>
</file>