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Times New Roman" w:hAnsi="Times New Roman"/>
          <w:b/>
          <w:sz w:val="40"/>
        </w:rPr>
        <w:t>INTERNSHIP PROJECT REPORT</w:t>
      </w:r>
    </w:p>
    <w:p>
      <w:pPr>
        <w:spacing w:before="700"/>
        <w:jc w:val="center"/>
      </w:pPr>
      <w:r>
        <w:rPr>
          <w:rFonts w:ascii="Times New Roman" w:hAnsi="Times New Roman"/>
          <w:b/>
          <w:sz w:val="36"/>
        </w:rPr>
        <w:t>CREATION OF AI DRIVEN MULTI-AGENT</w:t>
        <w:br/>
        <w:t>NEGOTIATION TRAINING &amp; SIMULATION PLATFORM</w:t>
      </w:r>
    </w:p>
    <w:p>
      <w:pPr>
        <w:spacing w:before="1200"/>
        <w:jc w:val="center"/>
      </w:pPr>
      <w:r>
        <w:rPr>
          <w:rFonts w:ascii="Times New Roman" w:hAnsi="Times New Roman"/>
          <w:sz w:val="26"/>
        </w:rPr>
        <w:t>Infosys Springboard Virtual Internship 7.0 | Batch-2</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7E6E6"/>
          </w:tcPr>
          <w:p>
            <w:r/>
            <w:r>
              <w:rPr>
                <w:rFonts w:ascii="Times New Roman" w:hAnsi="Times New Roman"/>
                <w:b/>
                <w:sz w:val="22"/>
              </w:rPr>
              <w:t>Project Details</w:t>
            </w:r>
          </w:p>
        </w:tc>
        <w:tc>
          <w:tcPr>
            <w:tcW w:type="dxa" w:w="4968"/>
            <w:vAlign w:val="center"/>
            <w:shd w:fill="E7E6E6"/>
          </w:tcPr>
          <w:p>
            <w:r/>
            <w:r>
              <w:rPr>
                <w:rFonts w:ascii="Times New Roman" w:hAnsi="Times New Roman"/>
                <w:b/>
                <w:sz w:val="22"/>
              </w:rPr>
              <w:t>Information</w:t>
            </w:r>
          </w:p>
        </w:tc>
      </w:tr>
      <w:tr>
        <w:tc>
          <w:tcPr>
            <w:tcW w:type="dxa" w:w="4968"/>
            <w:vAlign w:val="center"/>
          </w:tcPr>
          <w:p>
            <w:r/>
            <w:r>
              <w:rPr>
                <w:rFonts w:ascii="Times New Roman" w:hAnsi="Times New Roman"/>
                <w:b w:val="0"/>
                <w:sz w:val="22"/>
              </w:rPr>
              <w:t>Project Duration</w:t>
            </w:r>
          </w:p>
        </w:tc>
        <w:tc>
          <w:tcPr>
            <w:tcW w:type="dxa" w:w="4968"/>
            <w:vAlign w:val="center"/>
          </w:tcPr>
          <w:p>
            <w:r/>
            <w:r>
              <w:rPr>
                <w:rFonts w:ascii="Times New Roman" w:hAnsi="Times New Roman"/>
                <w:b w:val="0"/>
                <w:sz w:val="22"/>
              </w:rPr>
              <w:t>8 Weeks</w:t>
            </w:r>
          </w:p>
        </w:tc>
      </w:tr>
      <w:tr>
        <w:tc>
          <w:tcPr>
            <w:tcW w:type="dxa" w:w="4968"/>
            <w:vAlign w:val="center"/>
          </w:tcPr>
          <w:p>
            <w:r/>
            <w:r>
              <w:rPr>
                <w:rFonts w:ascii="Times New Roman" w:hAnsi="Times New Roman"/>
                <w:b w:val="0"/>
                <w:sz w:val="22"/>
              </w:rPr>
              <w:t>Mentor</w:t>
            </w:r>
          </w:p>
        </w:tc>
        <w:tc>
          <w:tcPr>
            <w:tcW w:type="dxa" w:w="4968"/>
            <w:vAlign w:val="center"/>
          </w:tcPr>
          <w:p>
            <w:r/>
            <w:r>
              <w:rPr>
                <w:rFonts w:ascii="Times New Roman" w:hAnsi="Times New Roman"/>
                <w:b w:val="0"/>
                <w:sz w:val="22"/>
              </w:rPr>
              <w:t>Nishyanth</w:t>
            </w:r>
          </w:p>
        </w:tc>
      </w:tr>
      <w:tr>
        <w:tc>
          <w:tcPr>
            <w:tcW w:type="dxa" w:w="4968"/>
            <w:vAlign w:val="center"/>
          </w:tcPr>
          <w:p>
            <w:r/>
            <w:r>
              <w:rPr>
                <w:rFonts w:ascii="Times New Roman" w:hAnsi="Times New Roman"/>
                <w:b w:val="0"/>
                <w:sz w:val="22"/>
              </w:rPr>
              <w:t>Team Members</w:t>
            </w:r>
          </w:p>
        </w:tc>
        <w:tc>
          <w:tcPr>
            <w:tcW w:type="dxa" w:w="4968"/>
            <w:vAlign w:val="center"/>
          </w:tcPr>
          <w:p>
            <w:r/>
            <w:r>
              <w:rPr>
                <w:rFonts w:ascii="Times New Roman" w:hAnsi="Times New Roman"/>
                <w:b w:val="0"/>
                <w:sz w:val="22"/>
              </w:rPr>
              <w:t>Madhugna Yelchuri; Tharungowda N K;</w:t>
              <w:br/>
              <w:t>Prasad Chaudhari; Bhagyashree;</w:t>
              <w:br/>
              <w:t>Bhoopathi Harshitha; P.M. Sree Priya</w:t>
            </w:r>
          </w:p>
        </w:tc>
      </w:tr>
    </w:tbl>
    <w:p>
      <w:pPr>
        <w:spacing w:before="1300"/>
        <w:jc w:val="center"/>
      </w:pPr>
      <w:r>
        <w:rPr>
          <w:rFonts w:ascii="Times New Roman" w:hAnsi="Times New Roman"/>
          <w:sz w:val="24"/>
        </w:rPr>
        <w:t>Prepared as part of the Infosys Springboard Virtual Internship</w:t>
      </w:r>
    </w:p>
    <w:p>
      <w:r>
        <w:br w:type="page"/>
      </w:r>
    </w:p>
    <w:p>
      <w:pPr>
        <w:pStyle w:val="Heading1"/>
      </w:pPr>
      <w:r>
        <w:t>Table of Contents</w:t>
      </w:r>
    </w:p>
    <w:p>
      <w:r>
        <w:br w:type="page"/>
      </w:r>
    </w:p>
    <w:p>
      <w:pPr>
        <w:pStyle w:val="Heading1"/>
      </w:pPr>
      <w:r>
        <w:t>1. Abstract</w:t>
      </w:r>
    </w:p>
    <w:p>
      <w:r>
        <w:t>This project presents the Creation of AI Driven Multi-Agent Negotiation Training &amp; Simulation Platform, implemented as a Disaster Relief Negotiation System (DRNS). The platform models disaster-response resource allocation as a negotiation among multiple role-specific stakeholders rather than as a single automated decision. Three AI stakeholders—Government, NGO and District Administration—can negotiate autonomously in AI-vs-AI mode, while a human participant can join the same environment through Human-vs-AI Practice Mode. The system combines Generative AI, structured proposals, resource constraints, deterministic validation, explicit consensus detection, deadlock handling, concession analysis, outcome analytics and MongoDB-backed history. Groq is used as the primary LLM provider path with Gemini as a fallback path. A React-based frontend communicates with a FastAPI backend using REST APIs and Server-Sent Events for progressive negotiation responses. The resulting platform is intended as an educational and training environment for understanding stakeholder negotiation, resource trade-offs and human-in-the-loop AI interaction.</w:t>
      </w:r>
    </w:p>
    <w:p>
      <w:r>
        <w:t>The supplied implementation contains three disaster-response scenarios: Flood Relief Resource Allocation, Earthquake Emergency Response and Cyclone Relief Coordination. Each scenario defines resources, affected areas, operational objectives and constraints. The platform records negotiation rounds and produces a final allocation, agent performance information and historical replay data. The project therefore demonstrates an end-to-end AI engineering workflow involving frontend design, API orchestration, LLM integration, validation, persistence and analytical reporting.</w:t>
      </w:r>
    </w:p>
    <w:p>
      <w:pPr>
        <w:pStyle w:val="Heading1"/>
      </w:pPr>
      <w:r>
        <w:t>2. Introduction</w:t>
      </w:r>
    </w:p>
    <w:p>
      <w:r>
        <w:t>Disaster relief operations require rapid coordination between organizations that may have different responsibilities, priorities and constraints. When resources such as rescue teams, medical aid, shelters, food or transport are limited, allocation decisions often involve trade-offs. The project treats this coordination problem as a multi-agent negotiation task in which each stakeholder has its own role, objective, constraints and negotiation personality.</w:t>
      </w:r>
    </w:p>
    <w:p>
      <w:r>
        <w:t>DRNS provides a controlled simulation environment in which these negotiations can be observed, configured and replayed. Instead of allowing a language model to directly control the complete system state, the architecture separates LLM-generated agent behavior from deterministic orchestration and validation. This allows the system to preserve resource limits, track acceptance, detect deadlock and determine when an agreement has actually been reached.</w:t>
      </w:r>
    </w:p>
    <w:p>
      <w:pPr>
        <w:pStyle w:val="Heading1"/>
      </w:pPr>
      <w:r>
        <w:t>3. Problem Statement</w:t>
      </w:r>
    </w:p>
    <w:p>
      <w:r>
        <w:t>Traditional resource-allocation demonstrations generally produce a final allocation without representing the negotiation process that leads to it. Such an approach does not adequately demonstrate how stakeholders with conflicting priorities communicate, make proposals, respond to counter-proposals and concede over multiple rounds. There is therefore a need for an interactive training platform that can simulate stakeholder negotiation while enforcing resource constraints and maintaining an auditable history of the interaction.</w:t>
      </w:r>
    </w:p>
    <w:p>
      <w:r>
        <w:t>The problem addressed by this project is to design and implement a multi-agent Generative-AI system that can simulate disaster-relief negotiations, support human participation, validate resource proposals, handle agreement and deadlock, and present measurable outcomes through a user-friendly interface.</w:t>
      </w:r>
    </w:p>
    <w:p>
      <w:pPr>
        <w:pStyle w:val="Heading1"/>
      </w:pPr>
      <w:r>
        <w:t>4. Objectives</w:t>
      </w:r>
    </w:p>
    <w:p>
      <w:pPr>
        <w:pStyle w:val="ListBullet"/>
      </w:pPr>
      <w:r>
        <w:t>Model multiple disaster-response stakeholders as role-specific agents.</w:t>
      </w:r>
    </w:p>
    <w:p>
      <w:pPr>
        <w:pStyle w:val="ListBullet"/>
      </w:pPr>
      <w:r>
        <w:t>Represent stakeholder goals, constraints and negotiation personalities.</w:t>
      </w:r>
    </w:p>
    <w:p>
      <w:pPr>
        <w:pStyle w:val="ListBullet"/>
      </w:pPr>
      <w:r>
        <w:t>Provide realistic multi-round negotiation using Generative AI.</w:t>
      </w:r>
    </w:p>
    <w:p>
      <w:pPr>
        <w:pStyle w:val="ListBullet"/>
      </w:pPr>
      <w:r>
        <w:t>Support both autonomous AI-vs-AI negotiation and Human-vs-AI Practice Mode.</w:t>
      </w:r>
    </w:p>
    <w:p>
      <w:pPr>
        <w:pStyle w:val="ListBullet"/>
      </w:pPr>
      <w:r>
        <w:t>Validate all proposals against configured resource quantities and allowed resource names.</w:t>
      </w:r>
    </w:p>
    <w:p>
      <w:pPr>
        <w:pStyle w:val="ListBullet"/>
      </w:pPr>
      <w:r>
        <w:t>Track proposals, counters, acceptances, rounds and negotiation history.</w:t>
      </w:r>
    </w:p>
    <w:p>
      <w:pPr>
        <w:pStyle w:val="ListBullet"/>
      </w:pPr>
      <w:r>
        <w:t>Detect explicit consensus and terminate a negotiation when the required participants accept the same proposal.</w:t>
      </w:r>
    </w:p>
    <w:p>
      <w:pPr>
        <w:pStyle w:val="ListBullet"/>
      </w:pPr>
      <w:r>
        <w:t>Detect stalled negotiations and handle deadlock or maximum-round termination.</w:t>
      </w:r>
    </w:p>
    <w:p>
      <w:pPr>
        <w:pStyle w:val="ListBullet"/>
      </w:pPr>
      <w:r>
        <w:t>Analyze concessions, objective satisfaction and final resource allocation.</w:t>
      </w:r>
    </w:p>
    <w:p>
      <w:pPr>
        <w:pStyle w:val="ListBullet"/>
      </w:pPr>
      <w:r>
        <w:t>Persist negotiation sessions in MongoDB and provide historical replay.</w:t>
      </w:r>
    </w:p>
    <w:p>
      <w:pPr>
        <w:pStyle w:val="ListBullet"/>
      </w:pPr>
      <w:r>
        <w:t>Provide an educational interface for observing and practicing negotiation behavior.</w:t>
      </w:r>
    </w:p>
    <w:p>
      <w:pPr>
        <w:pStyle w:val="Heading1"/>
      </w:pPr>
      <w:r>
        <w:t>5. Proposed Solution</w:t>
      </w:r>
    </w:p>
    <w:p>
      <w:r>
        <w:t>The proposed solution is a web-based negotiation simulator consisting of a React frontend, FastAPI backend, multi-agent orchestration layer, LLM provider layer, evaluation engine and MongoDB persistence layer. A user first selects a disaster scenario and configures agent personalities and resources. The negotiation can then be executed automatically between AI agents or interactively with a human participant.</w:t>
      </w:r>
    </w:p>
    <w:p>
      <w:pPr>
        <w:pStyle w:val="ListNumber"/>
      </w:pPr>
      <w:r>
        <w:t>Select a disaster scenario from the scenario catalogue.</w:t>
      </w:r>
    </w:p>
    <w:p>
      <w:pPr>
        <w:pStyle w:val="ListNumber"/>
      </w:pPr>
      <w:r>
        <w:t>Configure stakeholder personalities, available resources and affected areas.</w:t>
      </w:r>
    </w:p>
    <w:p>
      <w:pPr>
        <w:pStyle w:val="ListNumber"/>
      </w:pPr>
      <w:r>
        <w:t>Start an AI-vs-AI simulation or enter Human-vs-AI Practice Mode.</w:t>
      </w:r>
    </w:p>
    <w:p>
      <w:pPr>
        <w:pStyle w:val="ListNumber"/>
      </w:pPr>
      <w:r>
        <w:t>Generate role-aware proposals and responses using the LLM provider layer.</w:t>
      </w:r>
    </w:p>
    <w:p>
      <w:pPr>
        <w:pStyle w:val="ListNumber"/>
      </w:pPr>
      <w:r>
        <w:t>Normalize and validate proposals before they update negotiation state.</w:t>
      </w:r>
    </w:p>
    <w:p>
      <w:pPr>
        <w:pStyle w:val="ListNumber"/>
      </w:pPr>
      <w:r>
        <w:t>Record each turn and update the current proposal, acceptance and round state.</w:t>
      </w:r>
    </w:p>
    <w:p>
      <w:pPr>
        <w:pStyle w:val="ListNumber"/>
      </w:pPr>
      <w:r>
        <w:t>Evaluate consensus, deadlock and maximum-round conditions.</w:t>
      </w:r>
    </w:p>
    <w:p>
      <w:pPr>
        <w:pStyle w:val="ListNumber"/>
      </w:pPr>
      <w:r>
        <w:t>Generate the final allocation and analytical outcome report.</w:t>
      </w:r>
    </w:p>
    <w:p>
      <w:pPr>
        <w:pStyle w:val="ListNumber"/>
      </w:pPr>
      <w:r>
        <w:t>Persist the session and expose it through the History interface.</w:t>
      </w:r>
    </w:p>
    <w:p>
      <w:pPr>
        <w:pStyle w:val="Heading1"/>
      </w:pPr>
      <w:r>
        <w:t>6. System Architecture</w:t>
      </w:r>
    </w:p>
    <w:p>
      <w:r>
        <w:t>The system follows a layered architecture in which presentation, API handling, negotiation orchestration, agent behavior, prompt construction, LLM services, evaluation and persistence have distinct responsibilities.</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D9EAF7"/>
          </w:tcPr>
          <w:p>
            <w:r/>
            <w:r>
              <w:rPr>
                <w:rFonts w:ascii="Times New Roman" w:hAnsi="Times New Roman"/>
                <w:b/>
                <w:sz w:val="20"/>
              </w:rPr>
              <w:t>Layer</w:t>
            </w:r>
          </w:p>
        </w:tc>
        <w:tc>
          <w:tcPr>
            <w:tcW w:type="dxa" w:w="3168"/>
            <w:vAlign w:val="center"/>
            <w:shd w:fill="D9EAF7"/>
          </w:tcPr>
          <w:p>
            <w:r/>
            <w:r>
              <w:rPr>
                <w:rFonts w:ascii="Times New Roman" w:hAnsi="Times New Roman"/>
                <w:b/>
                <w:sz w:val="20"/>
              </w:rPr>
              <w:t>Components</w:t>
            </w:r>
          </w:p>
        </w:tc>
        <w:tc>
          <w:tcPr>
            <w:tcW w:type="dxa" w:w="5616"/>
            <w:vAlign w:val="center"/>
            <w:shd w:fill="D9EAF7"/>
          </w:tcPr>
          <w:p>
            <w:r/>
            <w:r>
              <w:rPr>
                <w:rFonts w:ascii="Times New Roman" w:hAnsi="Times New Roman"/>
                <w:b/>
                <w:sz w:val="20"/>
              </w:rPr>
              <w:t>Responsibility</w:t>
            </w:r>
          </w:p>
        </w:tc>
      </w:tr>
      <w:tr>
        <w:tc>
          <w:tcPr>
            <w:tcW w:type="dxa" w:w="1944"/>
            <w:vAlign w:val="center"/>
          </w:tcPr>
          <w:p>
            <w:r/>
            <w:r>
              <w:rPr>
                <w:rFonts w:ascii="Times New Roman" w:hAnsi="Times New Roman"/>
                <w:b w:val="0"/>
                <w:sz w:val="19"/>
              </w:rPr>
              <w:t>Presentation Layer</w:t>
            </w:r>
          </w:p>
        </w:tc>
        <w:tc>
          <w:tcPr>
            <w:tcW w:type="dxa" w:w="3168"/>
            <w:vAlign w:val="center"/>
          </w:tcPr>
          <w:p>
            <w:r/>
            <w:r>
              <w:rPr>
                <w:rFonts w:ascii="Times New Roman" w:hAnsi="Times New Roman"/>
                <w:b w:val="0"/>
                <w:sz w:val="19"/>
              </w:rPr>
              <w:t>React 19, Vite, React Router, Tailwind CSS, Lucide React</w:t>
            </w:r>
          </w:p>
        </w:tc>
        <w:tc>
          <w:tcPr>
            <w:tcW w:type="dxa" w:w="5616"/>
            <w:vAlign w:val="center"/>
          </w:tcPr>
          <w:p>
            <w:r/>
            <w:r>
              <w:rPr>
                <w:rFonts w:ascii="Times New Roman" w:hAnsi="Times New Roman"/>
                <w:b w:val="0"/>
                <w:sz w:val="19"/>
              </w:rPr>
              <w:t>Scenario selection, configuration, negotiation arena, Practice Mode, Outcome and History</w:t>
            </w:r>
          </w:p>
        </w:tc>
      </w:tr>
      <w:tr>
        <w:tc>
          <w:tcPr>
            <w:tcW w:type="dxa" w:w="1944"/>
            <w:vAlign w:val="center"/>
          </w:tcPr>
          <w:p>
            <w:r/>
            <w:r>
              <w:rPr>
                <w:rFonts w:ascii="Times New Roman" w:hAnsi="Times New Roman"/>
                <w:b w:val="0"/>
                <w:sz w:val="19"/>
              </w:rPr>
              <w:t>API Layer</w:t>
            </w:r>
          </w:p>
        </w:tc>
        <w:tc>
          <w:tcPr>
            <w:tcW w:type="dxa" w:w="3168"/>
            <w:vAlign w:val="center"/>
          </w:tcPr>
          <w:p>
            <w:r/>
            <w:r>
              <w:rPr>
                <w:rFonts w:ascii="Times New Roman" w:hAnsi="Times New Roman"/>
                <w:b w:val="0"/>
                <w:sz w:val="19"/>
              </w:rPr>
              <w:t>FastAPI, Pydantic, Uvicorn</w:t>
            </w:r>
          </w:p>
        </w:tc>
        <w:tc>
          <w:tcPr>
            <w:tcW w:type="dxa" w:w="5616"/>
            <w:vAlign w:val="center"/>
          </w:tcPr>
          <w:p>
            <w:r/>
            <w:r>
              <w:rPr>
                <w:rFonts w:ascii="Times New Roman" w:hAnsi="Times New Roman"/>
                <w:b w:val="0"/>
                <w:sz w:val="19"/>
              </w:rPr>
              <w:t>Request validation, session creation, turns, practice actions, suggestions and health checks</w:t>
            </w:r>
          </w:p>
        </w:tc>
      </w:tr>
      <w:tr>
        <w:tc>
          <w:tcPr>
            <w:tcW w:type="dxa" w:w="1944"/>
            <w:vAlign w:val="center"/>
          </w:tcPr>
          <w:p>
            <w:r/>
            <w:r>
              <w:rPr>
                <w:rFonts w:ascii="Times New Roman" w:hAnsi="Times New Roman"/>
                <w:b w:val="0"/>
                <w:sz w:val="19"/>
              </w:rPr>
              <w:t>Orchestration Layer</w:t>
            </w:r>
          </w:p>
        </w:tc>
        <w:tc>
          <w:tcPr>
            <w:tcW w:type="dxa" w:w="3168"/>
            <w:vAlign w:val="center"/>
          </w:tcPr>
          <w:p>
            <w:r/>
            <w:r>
              <w:rPr>
                <w:rFonts w:ascii="Times New Roman" w:hAnsi="Times New Roman"/>
                <w:b w:val="0"/>
                <w:sz w:val="19"/>
              </w:rPr>
              <w:t>NegotiationOrchestrator</w:t>
            </w:r>
          </w:p>
        </w:tc>
        <w:tc>
          <w:tcPr>
            <w:tcW w:type="dxa" w:w="5616"/>
            <w:vAlign w:val="center"/>
          </w:tcPr>
          <w:p>
            <w:r/>
            <w:r>
              <w:rPr>
                <w:rFonts w:ascii="Times New Roman" w:hAnsi="Times New Roman"/>
                <w:b w:val="0"/>
                <w:sz w:val="19"/>
              </w:rPr>
              <w:t>Rounds, participants, proposals, consensus, deadlock, termination and final reporting</w:t>
            </w:r>
          </w:p>
        </w:tc>
      </w:tr>
      <w:tr>
        <w:tc>
          <w:tcPr>
            <w:tcW w:type="dxa" w:w="1944"/>
            <w:vAlign w:val="center"/>
          </w:tcPr>
          <w:p>
            <w:r/>
            <w:r>
              <w:rPr>
                <w:rFonts w:ascii="Times New Roman" w:hAnsi="Times New Roman"/>
                <w:b w:val="0"/>
                <w:sz w:val="19"/>
              </w:rPr>
              <w:t>Agent Layer</w:t>
            </w:r>
          </w:p>
        </w:tc>
        <w:tc>
          <w:tcPr>
            <w:tcW w:type="dxa" w:w="3168"/>
            <w:vAlign w:val="center"/>
          </w:tcPr>
          <w:p>
            <w:r/>
            <w:r>
              <w:rPr>
                <w:rFonts w:ascii="Times New Roman" w:hAnsi="Times New Roman"/>
                <w:b w:val="0"/>
                <w:sz w:val="19"/>
              </w:rPr>
              <w:t>BaseAgent; GovernmentAgent; NGOAgent; DistrictAdministrationAgent</w:t>
            </w:r>
          </w:p>
        </w:tc>
        <w:tc>
          <w:tcPr>
            <w:tcW w:type="dxa" w:w="5616"/>
            <w:vAlign w:val="center"/>
          </w:tcPr>
          <w:p>
            <w:r/>
            <w:r>
              <w:rPr>
                <w:rFonts w:ascii="Times New Roman" w:hAnsi="Times New Roman"/>
                <w:b w:val="0"/>
                <w:sz w:val="19"/>
              </w:rPr>
              <w:t>Role, goals, constraints, personality and model interaction</w:t>
            </w:r>
          </w:p>
        </w:tc>
      </w:tr>
      <w:tr>
        <w:tc>
          <w:tcPr>
            <w:tcW w:type="dxa" w:w="1944"/>
            <w:vAlign w:val="center"/>
          </w:tcPr>
          <w:p>
            <w:r/>
            <w:r>
              <w:rPr>
                <w:rFonts w:ascii="Times New Roman" w:hAnsi="Times New Roman"/>
                <w:b w:val="0"/>
                <w:sz w:val="19"/>
              </w:rPr>
              <w:t>Prompt Layer</w:t>
            </w:r>
          </w:p>
        </w:tc>
        <w:tc>
          <w:tcPr>
            <w:tcW w:type="dxa" w:w="3168"/>
            <w:vAlign w:val="center"/>
          </w:tcPr>
          <w:p>
            <w:r/>
            <w:r>
              <w:rPr>
                <w:rFonts w:ascii="Times New Roman" w:hAnsi="Times New Roman"/>
                <w:b w:val="0"/>
                <w:sz w:val="19"/>
              </w:rPr>
              <w:t>prompt_builder.py</w:t>
            </w:r>
          </w:p>
        </w:tc>
        <w:tc>
          <w:tcPr>
            <w:tcW w:type="dxa" w:w="5616"/>
            <w:vAlign w:val="center"/>
          </w:tcPr>
          <w:p>
            <w:r/>
            <w:r>
              <w:rPr>
                <w:rFonts w:ascii="Times New Roman" w:hAnsi="Times New Roman"/>
                <w:b w:val="0"/>
                <w:sz w:val="19"/>
              </w:rPr>
              <w:t>Structured role/personality-aware prompts using current state and history</w:t>
            </w:r>
          </w:p>
        </w:tc>
      </w:tr>
      <w:tr>
        <w:tc>
          <w:tcPr>
            <w:tcW w:type="dxa" w:w="1944"/>
            <w:vAlign w:val="center"/>
          </w:tcPr>
          <w:p>
            <w:r/>
            <w:r>
              <w:rPr>
                <w:rFonts w:ascii="Times New Roman" w:hAnsi="Times New Roman"/>
                <w:b w:val="0"/>
                <w:sz w:val="19"/>
              </w:rPr>
              <w:t>LLM Layer</w:t>
            </w:r>
          </w:p>
        </w:tc>
        <w:tc>
          <w:tcPr>
            <w:tcW w:type="dxa" w:w="3168"/>
            <w:vAlign w:val="center"/>
          </w:tcPr>
          <w:p>
            <w:r/>
            <w:r>
              <w:rPr>
                <w:rFonts w:ascii="Times New Roman" w:hAnsi="Times New Roman"/>
                <w:b w:val="0"/>
                <w:sz w:val="19"/>
              </w:rPr>
              <w:t>Groq + Gemini</w:t>
            </w:r>
          </w:p>
        </w:tc>
        <w:tc>
          <w:tcPr>
            <w:tcW w:type="dxa" w:w="5616"/>
            <w:vAlign w:val="center"/>
          </w:tcPr>
          <w:p>
            <w:r/>
            <w:r>
              <w:rPr>
                <w:rFonts w:ascii="Times New Roman" w:hAnsi="Times New Roman"/>
                <w:b w:val="0"/>
                <w:sz w:val="19"/>
              </w:rPr>
              <w:t>Agent responses, structured outputs and provider fallback</w:t>
            </w:r>
          </w:p>
        </w:tc>
      </w:tr>
      <w:tr>
        <w:tc>
          <w:tcPr>
            <w:tcW w:type="dxa" w:w="1944"/>
            <w:vAlign w:val="center"/>
          </w:tcPr>
          <w:p>
            <w:r/>
            <w:r>
              <w:rPr>
                <w:rFonts w:ascii="Times New Roman" w:hAnsi="Times New Roman"/>
                <w:b w:val="0"/>
                <w:sz w:val="19"/>
              </w:rPr>
              <w:t>Evaluation Layer</w:t>
            </w:r>
          </w:p>
        </w:tc>
        <w:tc>
          <w:tcPr>
            <w:tcW w:type="dxa" w:w="3168"/>
            <w:vAlign w:val="center"/>
          </w:tcPr>
          <w:p>
            <w:r/>
            <w:r>
              <w:rPr>
                <w:rFonts w:ascii="Times New Roman" w:hAnsi="Times New Roman"/>
                <w:b w:val="0"/>
                <w:sz w:val="19"/>
              </w:rPr>
              <w:t>evaluation_engine.py</w:t>
            </w:r>
          </w:p>
        </w:tc>
        <w:tc>
          <w:tcPr>
            <w:tcW w:type="dxa" w:w="5616"/>
            <w:vAlign w:val="center"/>
          </w:tcPr>
          <w:p>
            <w:r/>
            <w:r>
              <w:rPr>
                <w:rFonts w:ascii="Times New Roman" w:hAnsi="Times New Roman"/>
                <w:b w:val="0"/>
                <w:sz w:val="19"/>
              </w:rPr>
              <w:t>Consensus, deadlock, concessions, performance and outcome analysis</w:t>
            </w:r>
          </w:p>
        </w:tc>
      </w:tr>
      <w:tr>
        <w:tc>
          <w:tcPr>
            <w:tcW w:type="dxa" w:w="1944"/>
            <w:vAlign w:val="center"/>
          </w:tcPr>
          <w:p>
            <w:r/>
            <w:r>
              <w:rPr>
                <w:rFonts w:ascii="Times New Roman" w:hAnsi="Times New Roman"/>
                <w:b w:val="0"/>
                <w:sz w:val="19"/>
              </w:rPr>
              <w:t>Persistence Layer</w:t>
            </w:r>
          </w:p>
        </w:tc>
        <w:tc>
          <w:tcPr>
            <w:tcW w:type="dxa" w:w="3168"/>
            <w:vAlign w:val="center"/>
          </w:tcPr>
          <w:p>
            <w:r/>
            <w:r>
              <w:rPr>
                <w:rFonts w:ascii="Times New Roman" w:hAnsi="Times New Roman"/>
                <w:b w:val="0"/>
                <w:sz w:val="19"/>
              </w:rPr>
              <w:t>MongoDB Atlas + Motor</w:t>
            </w:r>
          </w:p>
        </w:tc>
        <w:tc>
          <w:tcPr>
            <w:tcW w:type="dxa" w:w="5616"/>
            <w:vAlign w:val="center"/>
          </w:tcPr>
          <w:p>
            <w:r/>
            <w:r>
              <w:rPr>
                <w:rFonts w:ascii="Times New Roman" w:hAnsi="Times New Roman"/>
                <w:b w:val="0"/>
                <w:sz w:val="19"/>
              </w:rPr>
              <w:t>Session persistence, history listing and historical retrieval</w:t>
            </w:r>
          </w:p>
        </w:tc>
      </w:tr>
    </w:tbl>
    <w:p/>
    <w:p>
      <w:pPr>
        <w:pStyle w:val="Heading2"/>
      </w:pPr>
      <w:r>
        <w:t>6.1 Logical Architecture Flow</w:t>
      </w:r>
    </w:p>
    <w:p>
      <w:pPr>
        <w:jc w:val="center"/>
      </w:pPr>
      <w:r>
        <w:rPr>
          <w:rFonts w:ascii="Consolas" w:hAnsi="Consolas"/>
          <w:b/>
          <w:sz w:val="20"/>
        </w:rPr>
        <w:t>React Frontend</w:t>
      </w:r>
    </w:p>
    <w:p>
      <w:pPr>
        <w:jc w:val="center"/>
      </w:pPr>
      <w:r>
        <w:rPr>
          <w:rFonts w:ascii="Consolas" w:hAnsi="Consolas"/>
          <w:b w:val="0"/>
          <w:sz w:val="20"/>
        </w:rPr>
        <w:t>↓</w:t>
      </w:r>
    </w:p>
    <w:p>
      <w:pPr>
        <w:jc w:val="center"/>
      </w:pPr>
      <w:r>
        <w:rPr>
          <w:rFonts w:ascii="Consolas" w:hAnsi="Consolas"/>
          <w:b/>
          <w:sz w:val="20"/>
        </w:rPr>
        <w:t>FastAPI REST / SSE API</w:t>
      </w:r>
    </w:p>
    <w:p>
      <w:pPr>
        <w:jc w:val="center"/>
      </w:pPr>
      <w:r>
        <w:rPr>
          <w:rFonts w:ascii="Consolas" w:hAnsi="Consolas"/>
          <w:b w:val="0"/>
          <w:sz w:val="20"/>
        </w:rPr>
        <w:t>↓</w:t>
      </w:r>
    </w:p>
    <w:p>
      <w:pPr>
        <w:jc w:val="center"/>
      </w:pPr>
      <w:r>
        <w:rPr>
          <w:rFonts w:ascii="Consolas" w:hAnsi="Consolas"/>
          <w:b/>
          <w:sz w:val="20"/>
        </w:rPr>
        <w:t>Negotiation Orchestrator</w:t>
      </w:r>
    </w:p>
    <w:p>
      <w:pPr>
        <w:jc w:val="center"/>
      </w:pPr>
      <w:r>
        <w:rPr>
          <w:rFonts w:ascii="Consolas" w:hAnsi="Consolas"/>
          <w:b w:val="0"/>
          <w:sz w:val="20"/>
        </w:rPr>
        <w:t>↓</w:t>
      </w:r>
    </w:p>
    <w:p>
      <w:pPr>
        <w:jc w:val="center"/>
      </w:pPr>
      <w:r>
        <w:rPr>
          <w:rFonts w:ascii="Consolas" w:hAnsi="Consolas"/>
          <w:b w:val="0"/>
          <w:sz w:val="20"/>
        </w:rPr>
        <w:t>Government Agent  |  NGO Agent  |  District Administration Agent</w:t>
      </w:r>
    </w:p>
    <w:p>
      <w:pPr>
        <w:jc w:val="center"/>
      </w:pPr>
      <w:r>
        <w:rPr>
          <w:rFonts w:ascii="Consolas" w:hAnsi="Consolas"/>
          <w:b w:val="0"/>
          <w:sz w:val="20"/>
        </w:rPr>
        <w:t>↓</w:t>
      </w:r>
    </w:p>
    <w:p>
      <w:pPr>
        <w:jc w:val="center"/>
      </w:pPr>
      <w:r>
        <w:rPr>
          <w:rFonts w:ascii="Consolas" w:hAnsi="Consolas"/>
          <w:b w:val="0"/>
          <w:sz w:val="20"/>
        </w:rPr>
        <w:t>Prompt Builder → Groq Primary / Gemini Fallback</w:t>
      </w:r>
    </w:p>
    <w:p>
      <w:pPr>
        <w:jc w:val="center"/>
      </w:pPr>
      <w:r>
        <w:rPr>
          <w:rFonts w:ascii="Consolas" w:hAnsi="Consolas"/>
          <w:b w:val="0"/>
          <w:sz w:val="20"/>
        </w:rPr>
        <w:t>↓</w:t>
      </w:r>
    </w:p>
    <w:p>
      <w:pPr>
        <w:jc w:val="center"/>
      </w:pPr>
      <w:r>
        <w:rPr>
          <w:rFonts w:ascii="Consolas" w:hAnsi="Consolas"/>
          <w:b w:val="0"/>
          <w:sz w:val="20"/>
        </w:rPr>
        <w:t>Response Normalization + Proposal Validation</w:t>
      </w:r>
    </w:p>
    <w:p>
      <w:pPr>
        <w:jc w:val="center"/>
      </w:pPr>
      <w:r>
        <w:rPr>
          <w:rFonts w:ascii="Consolas" w:hAnsi="Consolas"/>
          <w:b w:val="0"/>
          <w:sz w:val="20"/>
        </w:rPr>
        <w:t>↓</w:t>
      </w:r>
    </w:p>
    <w:p>
      <w:pPr>
        <w:jc w:val="center"/>
      </w:pPr>
      <w:r>
        <w:rPr>
          <w:rFonts w:ascii="Consolas" w:hAnsi="Consolas"/>
          <w:b w:val="0"/>
          <w:sz w:val="20"/>
        </w:rPr>
        <w:t>Consensus / Deadlock / Max-Round Evaluation</w:t>
      </w:r>
    </w:p>
    <w:p>
      <w:pPr>
        <w:jc w:val="center"/>
      </w:pPr>
      <w:r>
        <w:rPr>
          <w:rFonts w:ascii="Consolas" w:hAnsi="Consolas"/>
          <w:b w:val="0"/>
          <w:sz w:val="20"/>
        </w:rPr>
        <w:t>↓</w:t>
      </w:r>
    </w:p>
    <w:p>
      <w:pPr>
        <w:jc w:val="center"/>
      </w:pPr>
      <w:r>
        <w:rPr>
          <w:rFonts w:ascii="Consolas" w:hAnsi="Consolas"/>
          <w:b w:val="0"/>
          <w:sz w:val="20"/>
        </w:rPr>
        <w:t>Outcome Analytics → MongoDB Persistence → History / Replay</w:t>
      </w:r>
    </w:p>
    <w:p>
      <w:pPr>
        <w:pStyle w:val="Heading1"/>
      </w:pPr>
      <w:r>
        <w:t>7.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1872"/>
            <w:vAlign w:val="center"/>
            <w:shd w:fill="D9EAF7"/>
          </w:tcPr>
          <w:p>
            <w:r/>
            <w:r>
              <w:rPr>
                <w:rFonts w:ascii="Times New Roman" w:hAnsi="Times New Roman"/>
                <w:b/>
                <w:sz w:val="20"/>
              </w:rPr>
              <w:t>Area</w:t>
            </w:r>
          </w:p>
        </w:tc>
        <w:tc>
          <w:tcPr>
            <w:tcW w:type="dxa" w:w="4320"/>
            <w:vAlign w:val="center"/>
            <w:shd w:fill="D9EAF7"/>
          </w:tcPr>
          <w:p>
            <w:r/>
            <w:r>
              <w:rPr>
                <w:rFonts w:ascii="Times New Roman" w:hAnsi="Times New Roman"/>
                <w:b/>
                <w:sz w:val="20"/>
              </w:rPr>
              <w:t>Technology</w:t>
            </w:r>
          </w:p>
        </w:tc>
        <w:tc>
          <w:tcPr>
            <w:tcW w:type="dxa" w:w="4536"/>
            <w:vAlign w:val="center"/>
            <w:shd w:fill="D9EAF7"/>
          </w:tcPr>
          <w:p>
            <w:r/>
            <w:r>
              <w:rPr>
                <w:rFonts w:ascii="Times New Roman" w:hAnsi="Times New Roman"/>
                <w:b/>
                <w:sz w:val="20"/>
              </w:rPr>
              <w:t>Purpose</w:t>
            </w:r>
          </w:p>
        </w:tc>
      </w:tr>
      <w:tr>
        <w:tc>
          <w:tcPr>
            <w:tcW w:type="dxa" w:w="1872"/>
            <w:vAlign w:val="center"/>
          </w:tcPr>
          <w:p>
            <w:r/>
            <w:r>
              <w:rPr>
                <w:rFonts w:ascii="Times New Roman" w:hAnsi="Times New Roman"/>
                <w:b w:val="0"/>
                <w:sz w:val="19"/>
              </w:rPr>
              <w:t>Frontend</w:t>
            </w:r>
          </w:p>
        </w:tc>
        <w:tc>
          <w:tcPr>
            <w:tcW w:type="dxa" w:w="4320"/>
            <w:vAlign w:val="center"/>
          </w:tcPr>
          <w:p>
            <w:r/>
            <w:r>
              <w:rPr>
                <w:rFonts w:ascii="Times New Roman" w:hAnsi="Times New Roman"/>
                <w:b w:val="0"/>
                <w:sz w:val="19"/>
              </w:rPr>
              <w:t>React 19, Vite 8, React Router, Tailwind CSS 4, Lucide React</w:t>
            </w:r>
          </w:p>
        </w:tc>
        <w:tc>
          <w:tcPr>
            <w:tcW w:type="dxa" w:w="4536"/>
            <w:vAlign w:val="center"/>
          </w:tcPr>
          <w:p>
            <w:r/>
            <w:r>
              <w:rPr>
                <w:rFonts w:ascii="Times New Roman" w:hAnsi="Times New Roman"/>
                <w:b w:val="0"/>
                <w:sz w:val="19"/>
              </w:rPr>
              <w:t>Interactive web interface and visual analytics</w:t>
            </w:r>
          </w:p>
        </w:tc>
      </w:tr>
      <w:tr>
        <w:tc>
          <w:tcPr>
            <w:tcW w:type="dxa" w:w="1872"/>
            <w:vAlign w:val="center"/>
          </w:tcPr>
          <w:p>
            <w:r/>
            <w:r>
              <w:rPr>
                <w:rFonts w:ascii="Times New Roman" w:hAnsi="Times New Roman"/>
                <w:b w:val="0"/>
                <w:sz w:val="19"/>
              </w:rPr>
              <w:t>Backend</w:t>
            </w:r>
          </w:p>
        </w:tc>
        <w:tc>
          <w:tcPr>
            <w:tcW w:type="dxa" w:w="4320"/>
            <w:vAlign w:val="center"/>
          </w:tcPr>
          <w:p>
            <w:r/>
            <w:r>
              <w:rPr>
                <w:rFonts w:ascii="Times New Roman" w:hAnsi="Times New Roman"/>
                <w:b w:val="0"/>
                <w:sz w:val="19"/>
              </w:rPr>
              <w:t>Python, FastAPI, Uvicorn, Pydantic</w:t>
            </w:r>
          </w:p>
        </w:tc>
        <w:tc>
          <w:tcPr>
            <w:tcW w:type="dxa" w:w="4536"/>
            <w:vAlign w:val="center"/>
          </w:tcPr>
          <w:p>
            <w:r/>
            <w:r>
              <w:rPr>
                <w:rFonts w:ascii="Times New Roman" w:hAnsi="Times New Roman"/>
                <w:b w:val="0"/>
                <w:sz w:val="19"/>
              </w:rPr>
              <w:t>REST API, request validation and application services</w:t>
            </w:r>
          </w:p>
        </w:tc>
      </w:tr>
      <w:tr>
        <w:tc>
          <w:tcPr>
            <w:tcW w:type="dxa" w:w="1872"/>
            <w:vAlign w:val="center"/>
          </w:tcPr>
          <w:p>
            <w:r/>
            <w:r>
              <w:rPr>
                <w:rFonts w:ascii="Times New Roman" w:hAnsi="Times New Roman"/>
                <w:b w:val="0"/>
                <w:sz w:val="19"/>
              </w:rPr>
              <w:t>AI / LLM</w:t>
            </w:r>
          </w:p>
        </w:tc>
        <w:tc>
          <w:tcPr>
            <w:tcW w:type="dxa" w:w="4320"/>
            <w:vAlign w:val="center"/>
          </w:tcPr>
          <w:p>
            <w:r/>
            <w:r>
              <w:rPr>
                <w:rFonts w:ascii="Times New Roman" w:hAnsi="Times New Roman"/>
                <w:b w:val="0"/>
                <w:sz w:val="19"/>
              </w:rPr>
              <w:t>Groq primary path, Gemini fallback</w:t>
            </w:r>
          </w:p>
        </w:tc>
        <w:tc>
          <w:tcPr>
            <w:tcW w:type="dxa" w:w="4536"/>
            <w:vAlign w:val="center"/>
          </w:tcPr>
          <w:p>
            <w:r/>
            <w:r>
              <w:rPr>
                <w:rFonts w:ascii="Times New Roman" w:hAnsi="Times New Roman"/>
                <w:b w:val="0"/>
                <w:sz w:val="19"/>
              </w:rPr>
              <w:t>Natural-language agent decisions and negotiation responses</w:t>
            </w:r>
          </w:p>
        </w:tc>
      </w:tr>
      <w:tr>
        <w:tc>
          <w:tcPr>
            <w:tcW w:type="dxa" w:w="1872"/>
            <w:vAlign w:val="center"/>
          </w:tcPr>
          <w:p>
            <w:r/>
            <w:r>
              <w:rPr>
                <w:rFonts w:ascii="Times New Roman" w:hAnsi="Times New Roman"/>
                <w:b w:val="0"/>
                <w:sz w:val="19"/>
              </w:rPr>
              <w:t>Persistence</w:t>
            </w:r>
          </w:p>
        </w:tc>
        <w:tc>
          <w:tcPr>
            <w:tcW w:type="dxa" w:w="4320"/>
            <w:vAlign w:val="center"/>
          </w:tcPr>
          <w:p>
            <w:r/>
            <w:r>
              <w:rPr>
                <w:rFonts w:ascii="Times New Roman" w:hAnsi="Times New Roman"/>
                <w:b w:val="0"/>
                <w:sz w:val="19"/>
              </w:rPr>
              <w:t>MongoDB Atlas, Motor</w:t>
            </w:r>
          </w:p>
        </w:tc>
        <w:tc>
          <w:tcPr>
            <w:tcW w:type="dxa" w:w="4536"/>
            <w:vAlign w:val="center"/>
          </w:tcPr>
          <w:p>
            <w:r/>
            <w:r>
              <w:rPr>
                <w:rFonts w:ascii="Times New Roman" w:hAnsi="Times New Roman"/>
                <w:b w:val="0"/>
                <w:sz w:val="19"/>
              </w:rPr>
              <w:t>Persistent negotiation sessions and history</w:t>
            </w:r>
          </w:p>
        </w:tc>
      </w:tr>
      <w:tr>
        <w:tc>
          <w:tcPr>
            <w:tcW w:type="dxa" w:w="1872"/>
            <w:vAlign w:val="center"/>
          </w:tcPr>
          <w:p>
            <w:r/>
            <w:r>
              <w:rPr>
                <w:rFonts w:ascii="Times New Roman" w:hAnsi="Times New Roman"/>
                <w:b w:val="0"/>
                <w:sz w:val="19"/>
              </w:rPr>
              <w:t>Communication</w:t>
            </w:r>
          </w:p>
        </w:tc>
        <w:tc>
          <w:tcPr>
            <w:tcW w:type="dxa" w:w="4320"/>
            <w:vAlign w:val="center"/>
          </w:tcPr>
          <w:p>
            <w:r/>
            <w:r>
              <w:rPr>
                <w:rFonts w:ascii="Times New Roman" w:hAnsi="Times New Roman"/>
                <w:b w:val="0"/>
                <w:sz w:val="19"/>
              </w:rPr>
              <w:t>REST APIs, Server-Sent Events (SSE)</w:t>
            </w:r>
          </w:p>
        </w:tc>
        <w:tc>
          <w:tcPr>
            <w:tcW w:type="dxa" w:w="4536"/>
            <w:vAlign w:val="center"/>
          </w:tcPr>
          <w:p>
            <w:r/>
            <w:r>
              <w:rPr>
                <w:rFonts w:ascii="Times New Roman" w:hAnsi="Times New Roman"/>
                <w:b w:val="0"/>
                <w:sz w:val="19"/>
              </w:rPr>
              <w:t>Request/response operations and progressive streaming of Practice Mode responses</w:t>
            </w:r>
          </w:p>
        </w:tc>
      </w:tr>
      <w:tr>
        <w:tc>
          <w:tcPr>
            <w:tcW w:type="dxa" w:w="1872"/>
            <w:vAlign w:val="center"/>
          </w:tcPr>
          <w:p>
            <w:r/>
            <w:r>
              <w:rPr>
                <w:rFonts w:ascii="Times New Roman" w:hAnsi="Times New Roman"/>
                <w:b w:val="0"/>
                <w:sz w:val="19"/>
              </w:rPr>
              <w:t>Testing</w:t>
            </w:r>
          </w:p>
        </w:tc>
        <w:tc>
          <w:tcPr>
            <w:tcW w:type="dxa" w:w="4320"/>
            <w:vAlign w:val="center"/>
          </w:tcPr>
          <w:p>
            <w:r/>
            <w:r>
              <w:rPr>
                <w:rFonts w:ascii="Times New Roman" w:hAnsi="Times New Roman"/>
                <w:b w:val="0"/>
                <w:sz w:val="19"/>
              </w:rPr>
              <w:t>Pytest, Python AST/compileall checks</w:t>
            </w:r>
          </w:p>
        </w:tc>
        <w:tc>
          <w:tcPr>
            <w:tcW w:type="dxa" w:w="4536"/>
            <w:vAlign w:val="center"/>
          </w:tcPr>
          <w:p>
            <w:r/>
            <w:r>
              <w:rPr>
                <w:rFonts w:ascii="Times New Roman" w:hAnsi="Times New Roman"/>
                <w:b w:val="0"/>
                <w:sz w:val="19"/>
              </w:rPr>
              <w:t>Validation of negotiation logic and source integrity</w:t>
            </w:r>
          </w:p>
        </w:tc>
      </w:tr>
      <w:tr>
        <w:tc>
          <w:tcPr>
            <w:tcW w:type="dxa" w:w="1872"/>
            <w:vAlign w:val="center"/>
          </w:tcPr>
          <w:p>
            <w:r/>
            <w:r>
              <w:rPr>
                <w:rFonts w:ascii="Times New Roman" w:hAnsi="Times New Roman"/>
                <w:b w:val="0"/>
                <w:sz w:val="19"/>
              </w:rPr>
              <w:t>Development</w:t>
            </w:r>
          </w:p>
        </w:tc>
        <w:tc>
          <w:tcPr>
            <w:tcW w:type="dxa" w:w="4320"/>
            <w:vAlign w:val="center"/>
          </w:tcPr>
          <w:p>
            <w:r/>
            <w:r>
              <w:rPr>
                <w:rFonts w:ascii="Times New Roman" w:hAnsi="Times New Roman"/>
                <w:b w:val="0"/>
                <w:sz w:val="19"/>
              </w:rPr>
              <w:t>VS Code, Git/GitHub workflow</w:t>
            </w:r>
          </w:p>
        </w:tc>
        <w:tc>
          <w:tcPr>
            <w:tcW w:type="dxa" w:w="4536"/>
            <w:vAlign w:val="center"/>
          </w:tcPr>
          <w:p>
            <w:r/>
            <w:r>
              <w:rPr>
                <w:rFonts w:ascii="Times New Roman" w:hAnsi="Times New Roman"/>
                <w:b w:val="0"/>
                <w:sz w:val="19"/>
              </w:rPr>
              <w:t>Development, version control and team collaboration</w:t>
            </w:r>
          </w:p>
        </w:tc>
      </w:tr>
    </w:tbl>
    <w:p/>
    <w:p>
      <w:pPr>
        <w:pStyle w:val="Heading1"/>
      </w:pPr>
      <w:r>
        <w:t>8. System Modules</w:t>
      </w:r>
    </w:p>
    <w:tbl>
      <w:tblPr>
        <w:tblStyle w:val="TableGrid"/>
        <w:tblW w:type="auto" w:w="0"/>
        <w:jc w:val="center"/>
        <w:tblLook w:firstColumn="1" w:firstRow="1" w:lastColumn="0" w:lastRow="0" w:noHBand="0" w:noVBand="1" w:val="04A0"/>
      </w:tblPr>
      <w:tblGrid>
        <w:gridCol w:w="4968"/>
        <w:gridCol w:w="4968"/>
      </w:tblGrid>
      <w:tr>
        <w:tc>
          <w:tcPr>
            <w:tcW w:type="dxa" w:w="2376"/>
            <w:vAlign w:val="center"/>
            <w:shd w:fill="D9EAF7"/>
          </w:tcPr>
          <w:p>
            <w:r/>
            <w:r>
              <w:rPr>
                <w:rFonts w:ascii="Times New Roman" w:hAnsi="Times New Roman"/>
                <w:b/>
                <w:sz w:val="20"/>
              </w:rPr>
              <w:t>Module</w:t>
            </w:r>
          </w:p>
        </w:tc>
        <w:tc>
          <w:tcPr>
            <w:tcW w:type="dxa" w:w="8352"/>
            <w:vAlign w:val="center"/>
            <w:shd w:fill="D9EAF7"/>
          </w:tcPr>
          <w:p>
            <w:r/>
            <w:r>
              <w:rPr>
                <w:rFonts w:ascii="Times New Roman" w:hAnsi="Times New Roman"/>
                <w:b/>
                <w:sz w:val="20"/>
              </w:rPr>
              <w:t>Functionality</w:t>
            </w:r>
          </w:p>
        </w:tc>
      </w:tr>
      <w:tr>
        <w:tc>
          <w:tcPr>
            <w:tcW w:type="dxa" w:w="2376"/>
            <w:vAlign w:val="center"/>
          </w:tcPr>
          <w:p>
            <w:r/>
            <w:r>
              <w:rPr>
                <w:rFonts w:ascii="Times New Roman" w:hAnsi="Times New Roman"/>
                <w:b w:val="0"/>
                <w:sz w:val="19"/>
              </w:rPr>
              <w:t>Home</w:t>
            </w:r>
          </w:p>
        </w:tc>
        <w:tc>
          <w:tcPr>
            <w:tcW w:type="dxa" w:w="8352"/>
            <w:vAlign w:val="center"/>
          </w:tcPr>
          <w:p>
            <w:r/>
            <w:r>
              <w:rPr>
                <w:rFonts w:ascii="Times New Roman" w:hAnsi="Times New Roman"/>
                <w:b w:val="0"/>
                <w:sz w:val="19"/>
              </w:rPr>
              <w:t>Project landing page and entry point showing scenarios, agents, personalities, rounds and major platform features.</w:t>
            </w:r>
          </w:p>
        </w:tc>
      </w:tr>
      <w:tr>
        <w:tc>
          <w:tcPr>
            <w:tcW w:type="dxa" w:w="2376"/>
            <w:vAlign w:val="center"/>
          </w:tcPr>
          <w:p>
            <w:r/>
            <w:r>
              <w:rPr>
                <w:rFonts w:ascii="Times New Roman" w:hAnsi="Times New Roman"/>
                <w:b w:val="0"/>
                <w:sz w:val="19"/>
              </w:rPr>
              <w:t>Scenario Selection</w:t>
            </w:r>
          </w:p>
        </w:tc>
        <w:tc>
          <w:tcPr>
            <w:tcW w:type="dxa" w:w="8352"/>
            <w:vAlign w:val="center"/>
          </w:tcPr>
          <w:p>
            <w:r/>
            <w:r>
              <w:rPr>
                <w:rFonts w:ascii="Times New Roman" w:hAnsi="Times New Roman"/>
                <w:b w:val="0"/>
                <w:sz w:val="19"/>
              </w:rPr>
              <w:t>Provides Flood, Earthquake and Cyclone disaster-response scenarios with resource pools, affected areas and objectives.</w:t>
            </w:r>
          </w:p>
        </w:tc>
      </w:tr>
      <w:tr>
        <w:tc>
          <w:tcPr>
            <w:tcW w:type="dxa" w:w="2376"/>
            <w:vAlign w:val="center"/>
          </w:tcPr>
          <w:p>
            <w:r/>
            <w:r>
              <w:rPr>
                <w:rFonts w:ascii="Times New Roman" w:hAnsi="Times New Roman"/>
                <w:b w:val="0"/>
                <w:sz w:val="19"/>
              </w:rPr>
              <w:t>Agent Configuration</w:t>
            </w:r>
          </w:p>
        </w:tc>
        <w:tc>
          <w:tcPr>
            <w:tcW w:type="dxa" w:w="8352"/>
            <w:vAlign w:val="center"/>
          </w:tcPr>
          <w:p>
            <w:r/>
            <w:r>
              <w:rPr>
                <w:rFonts w:ascii="Times New Roman" w:hAnsi="Times New Roman"/>
                <w:b w:val="0"/>
                <w:sz w:val="19"/>
              </w:rPr>
              <w:t>Allows agent personalities and resource quantities to be configured before a negotiation.</w:t>
            </w:r>
          </w:p>
        </w:tc>
      </w:tr>
      <w:tr>
        <w:tc>
          <w:tcPr>
            <w:tcW w:type="dxa" w:w="2376"/>
            <w:vAlign w:val="center"/>
          </w:tcPr>
          <w:p>
            <w:r/>
            <w:r>
              <w:rPr>
                <w:rFonts w:ascii="Times New Roman" w:hAnsi="Times New Roman"/>
                <w:b w:val="0"/>
                <w:sz w:val="19"/>
              </w:rPr>
              <w:t>Negotiation Arena</w:t>
            </w:r>
          </w:p>
        </w:tc>
        <w:tc>
          <w:tcPr>
            <w:tcW w:type="dxa" w:w="8352"/>
            <w:vAlign w:val="center"/>
          </w:tcPr>
          <w:p>
            <w:r/>
            <w:r>
              <w:rPr>
                <w:rFonts w:ascii="Times New Roman" w:hAnsi="Times New Roman"/>
                <w:b w:val="0"/>
                <w:sz w:val="19"/>
              </w:rPr>
              <w:t>Runs and visualizes AI-vs-AI negotiation turns, proposals, counters, acceptance and current allocation.</w:t>
            </w:r>
          </w:p>
        </w:tc>
      </w:tr>
      <w:tr>
        <w:tc>
          <w:tcPr>
            <w:tcW w:type="dxa" w:w="2376"/>
            <w:vAlign w:val="center"/>
          </w:tcPr>
          <w:p>
            <w:r/>
            <w:r>
              <w:rPr>
                <w:rFonts w:ascii="Times New Roman" w:hAnsi="Times New Roman"/>
                <w:b w:val="0"/>
                <w:sz w:val="19"/>
              </w:rPr>
              <w:t>Practice Mode</w:t>
            </w:r>
          </w:p>
        </w:tc>
        <w:tc>
          <w:tcPr>
            <w:tcW w:type="dxa" w:w="8352"/>
            <w:vAlign w:val="center"/>
          </w:tcPr>
          <w:p>
            <w:r/>
            <w:r>
              <w:rPr>
                <w:rFonts w:ascii="Times New Roman" w:hAnsi="Times New Roman"/>
                <w:b w:val="0"/>
                <w:sz w:val="19"/>
              </w:rPr>
              <w:t>Allows a human participant to submit negotiation actions while AI stakeholders respond.</w:t>
            </w:r>
          </w:p>
        </w:tc>
      </w:tr>
      <w:tr>
        <w:tc>
          <w:tcPr>
            <w:tcW w:type="dxa" w:w="2376"/>
            <w:vAlign w:val="center"/>
          </w:tcPr>
          <w:p>
            <w:r/>
            <w:r>
              <w:rPr>
                <w:rFonts w:ascii="Times New Roman" w:hAnsi="Times New Roman"/>
                <w:b w:val="0"/>
                <w:sz w:val="19"/>
              </w:rPr>
              <w:t>Outcome</w:t>
            </w:r>
          </w:p>
        </w:tc>
        <w:tc>
          <w:tcPr>
            <w:tcW w:type="dxa" w:w="8352"/>
            <w:vAlign w:val="center"/>
          </w:tcPr>
          <w:p>
            <w:r/>
            <w:r>
              <w:rPr>
                <w:rFonts w:ascii="Times New Roman" w:hAnsi="Times New Roman"/>
                <w:b w:val="0"/>
                <w:sz w:val="19"/>
              </w:rPr>
              <w:t>Displays agreement status, rounds, participants, final allocation, resource trajectories and agent performance.</w:t>
            </w:r>
          </w:p>
        </w:tc>
      </w:tr>
      <w:tr>
        <w:tc>
          <w:tcPr>
            <w:tcW w:type="dxa" w:w="2376"/>
            <w:vAlign w:val="center"/>
          </w:tcPr>
          <w:p>
            <w:r/>
            <w:r>
              <w:rPr>
                <w:rFonts w:ascii="Times New Roman" w:hAnsi="Times New Roman"/>
                <w:b w:val="0"/>
                <w:sz w:val="19"/>
              </w:rPr>
              <w:t>History</w:t>
            </w:r>
          </w:p>
        </w:tc>
        <w:tc>
          <w:tcPr>
            <w:tcW w:type="dxa" w:w="8352"/>
            <w:vAlign w:val="center"/>
          </w:tcPr>
          <w:p>
            <w:r/>
            <w:r>
              <w:rPr>
                <w:rFonts w:ascii="Times New Roman" w:hAnsi="Times New Roman"/>
                <w:b w:val="0"/>
                <w:sz w:val="19"/>
              </w:rPr>
              <w:t>Displays persisted sessions and provides visualization and transcript access for replay and analysis.</w:t>
            </w:r>
          </w:p>
        </w:tc>
      </w:tr>
    </w:tbl>
    <w:p/>
    <w:p>
      <w:pPr>
        <w:pStyle w:val="Heading1"/>
      </w:pPr>
      <w:r>
        <w:t>9. Multi-Agent Architecture</w:t>
      </w:r>
    </w:p>
    <w:p>
      <w:r>
        <w:t>The simulator uses three stakeholder agents with different operational roles. Each agent receives scenario information, its own goal, constraints, personality, available resources, current proposal and negotiation history. The prompt builder creates structured model input, while the orchestrator remains responsible for authoritative state transitions.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88"/>
            <w:vAlign w:val="center"/>
            <w:shd w:fill="D9EAF7"/>
          </w:tcPr>
          <w:p>
            <w:r/>
            <w:r>
              <w:rPr>
                <w:rFonts w:ascii="Times New Roman" w:hAnsi="Times New Roman"/>
                <w:b/>
                <w:sz w:val="20"/>
              </w:rPr>
              <w:t>Agent</w:t>
            </w:r>
          </w:p>
        </w:tc>
        <w:tc>
          <w:tcPr>
            <w:tcW w:type="dxa" w:w="3240"/>
            <w:vAlign w:val="center"/>
            <w:shd w:fill="D9EAF7"/>
          </w:tcPr>
          <w:p>
            <w:r/>
            <w:r>
              <w:rPr>
                <w:rFonts w:ascii="Times New Roman" w:hAnsi="Times New Roman"/>
                <w:b/>
                <w:sz w:val="20"/>
              </w:rPr>
              <w:t>Goal</w:t>
            </w:r>
          </w:p>
        </w:tc>
        <w:tc>
          <w:tcPr>
            <w:tcW w:type="dxa" w:w="3456"/>
            <w:vAlign w:val="center"/>
            <w:shd w:fill="D9EAF7"/>
          </w:tcPr>
          <w:p>
            <w:r/>
            <w:r>
              <w:rPr>
                <w:rFonts w:ascii="Times New Roman" w:hAnsi="Times New Roman"/>
                <w:b/>
                <w:sz w:val="20"/>
              </w:rPr>
              <w:t>Example Constraints</w:t>
            </w:r>
          </w:p>
        </w:tc>
        <w:tc>
          <w:tcPr>
            <w:tcW w:type="dxa" w:w="1800"/>
            <w:vAlign w:val="center"/>
            <w:shd w:fill="D9EAF7"/>
          </w:tcPr>
          <w:p>
            <w:r/>
            <w:r>
              <w:rPr>
                <w:rFonts w:ascii="Times New Roman" w:hAnsi="Times New Roman"/>
                <w:b/>
                <w:sz w:val="20"/>
              </w:rPr>
              <w:t>Personalities</w:t>
            </w:r>
          </w:p>
        </w:tc>
      </w:tr>
      <w:tr>
        <w:tc>
          <w:tcPr>
            <w:tcW w:type="dxa" w:w="2088"/>
            <w:vAlign w:val="center"/>
          </w:tcPr>
          <w:p>
            <w:r/>
            <w:r>
              <w:rPr>
                <w:rFonts w:ascii="Times New Roman" w:hAnsi="Times New Roman"/>
                <w:b w:val="0"/>
                <w:sz w:val="19"/>
              </w:rPr>
              <w:t>Government Agent</w:t>
            </w:r>
          </w:p>
        </w:tc>
        <w:tc>
          <w:tcPr>
            <w:tcW w:type="dxa" w:w="3240"/>
            <w:vAlign w:val="center"/>
          </w:tcPr>
          <w:p>
            <w:r/>
            <w:r>
              <w:rPr>
                <w:rFonts w:ascii="Times New Roman" w:hAnsi="Times New Roman"/>
                <w:b w:val="0"/>
                <w:sz w:val="19"/>
              </w:rPr>
              <w:t>Direct emergency operations and protect critical infrastructure/public order.</w:t>
            </w:r>
          </w:p>
        </w:tc>
        <w:tc>
          <w:tcPr>
            <w:tcW w:type="dxa" w:w="3456"/>
            <w:vAlign w:val="center"/>
          </w:tcPr>
          <w:p>
            <w:r/>
            <w:r>
              <w:rPr>
                <w:rFonts w:ascii="Times New Roman" w:hAnsi="Times New Roman"/>
                <w:b w:val="0"/>
                <w:sz w:val="19"/>
              </w:rPr>
              <w:t>Restricted access, high demand for rescue personnel, multi-agency coordination.</w:t>
            </w:r>
          </w:p>
        </w:tc>
        <w:tc>
          <w:tcPr>
            <w:tcW w:type="dxa" w:w="1800"/>
            <w:vAlign w:val="center"/>
          </w:tcPr>
          <w:p>
            <w:r/>
            <w:r>
              <w:rPr>
                <w:rFonts w:ascii="Times New Roman" w:hAnsi="Times New Roman"/>
                <w:b w:val="0"/>
                <w:sz w:val="19"/>
              </w:rPr>
              <w:t>Aggressive / Collaborative / Risk-Averse</w:t>
            </w:r>
          </w:p>
        </w:tc>
      </w:tr>
      <w:tr>
        <w:tc>
          <w:tcPr>
            <w:tcW w:type="dxa" w:w="2088"/>
            <w:vAlign w:val="center"/>
          </w:tcPr>
          <w:p>
            <w:r/>
            <w:r>
              <w:rPr>
                <w:rFonts w:ascii="Times New Roman" w:hAnsi="Times New Roman"/>
                <w:b w:val="0"/>
                <w:sz w:val="19"/>
              </w:rPr>
              <w:t>NGO Agent</w:t>
            </w:r>
          </w:p>
        </w:tc>
        <w:tc>
          <w:tcPr>
            <w:tcW w:type="dxa" w:w="3240"/>
            <w:vAlign w:val="center"/>
          </w:tcPr>
          <w:p>
            <w:r/>
            <w:r>
              <w:rPr>
                <w:rFonts w:ascii="Times New Roman" w:hAnsi="Times New Roman"/>
                <w:b w:val="0"/>
                <w:sz w:val="19"/>
              </w:rPr>
              <w:t>Provide medical support and shelter assistance to displaced families.</w:t>
            </w:r>
          </w:p>
        </w:tc>
        <w:tc>
          <w:tcPr>
            <w:tcW w:type="dxa" w:w="3456"/>
            <w:vAlign w:val="center"/>
          </w:tcPr>
          <w:p>
            <w:r/>
            <w:r>
              <w:rPr>
                <w:rFonts w:ascii="Times New Roman" w:hAnsi="Times New Roman"/>
                <w:b w:val="0"/>
                <w:sz w:val="19"/>
              </w:rPr>
              <w:t>Limited medical stockpiles, complex supply-chain disruption, safe transport routes.</w:t>
            </w:r>
          </w:p>
        </w:tc>
        <w:tc>
          <w:tcPr>
            <w:tcW w:type="dxa" w:w="1800"/>
            <w:vAlign w:val="center"/>
          </w:tcPr>
          <w:p>
            <w:r/>
            <w:r>
              <w:rPr>
                <w:rFonts w:ascii="Times New Roman" w:hAnsi="Times New Roman"/>
                <w:b w:val="0"/>
                <w:sz w:val="19"/>
              </w:rPr>
              <w:t>Aggressive / Collaborative / Risk-Averse</w:t>
            </w:r>
          </w:p>
        </w:tc>
      </w:tr>
      <w:tr>
        <w:tc>
          <w:tcPr>
            <w:tcW w:type="dxa" w:w="2088"/>
            <w:vAlign w:val="center"/>
          </w:tcPr>
          <w:p>
            <w:r/>
            <w:r>
              <w:rPr>
                <w:rFonts w:ascii="Times New Roman" w:hAnsi="Times New Roman"/>
                <w:b w:val="0"/>
                <w:sz w:val="19"/>
              </w:rPr>
              <w:t>District Administration Agent</w:t>
            </w:r>
          </w:p>
        </w:tc>
        <w:tc>
          <w:tcPr>
            <w:tcW w:type="dxa" w:w="3240"/>
            <w:vAlign w:val="center"/>
          </w:tcPr>
          <w:p>
            <w:r/>
            <w:r>
              <w:rPr>
                <w:rFonts w:ascii="Times New Roman" w:hAnsi="Times New Roman"/>
                <w:b w:val="0"/>
                <w:sz w:val="19"/>
              </w:rPr>
              <w:t>Prioritize local rescue access, shelter placement and infrastructure support.</w:t>
            </w:r>
          </w:p>
        </w:tc>
        <w:tc>
          <w:tcPr>
            <w:tcW w:type="dxa" w:w="3456"/>
            <w:vAlign w:val="center"/>
          </w:tcPr>
          <w:p>
            <w:r/>
            <w:r>
              <w:rPr>
                <w:rFonts w:ascii="Times New Roman" w:hAnsi="Times New Roman"/>
                <w:b w:val="0"/>
                <w:sz w:val="19"/>
              </w:rPr>
              <w:t>Damaged roads/utilities, crowded evacuation centres, limited workforce availability.</w:t>
            </w:r>
          </w:p>
        </w:tc>
        <w:tc>
          <w:tcPr>
            <w:tcW w:type="dxa" w:w="1800"/>
            <w:vAlign w:val="center"/>
          </w:tcPr>
          <w:p>
            <w:r/>
            <w:r>
              <w:rPr>
                <w:rFonts w:ascii="Times New Roman" w:hAnsi="Times New Roman"/>
                <w:b w:val="0"/>
                <w:sz w:val="19"/>
              </w:rPr>
              <w:t>Aggressive / Collaborative / Risk-Averse</w:t>
            </w:r>
          </w:p>
        </w:tc>
      </w:tr>
    </w:tbl>
    <w:p/>
    <w:p>
      <w:pPr>
        <w:pStyle w:val="Heading2"/>
      </w:pPr>
      <w:r>
        <w:t>9.1 Scenario Model</w:t>
      </w:r>
    </w:p>
    <w:tbl>
      <w:tblPr>
        <w:tblStyle w:val="TableGrid"/>
        <w:tblW w:type="auto" w:w="0"/>
        <w:jc w:val="center"/>
        <w:tblLook w:firstColumn="1" w:firstRow="1" w:lastColumn="0" w:lastRow="0" w:noHBand="0" w:noVBand="1" w:val="04A0"/>
      </w:tblPr>
      <w:tblGrid>
        <w:gridCol w:w="3312"/>
        <w:gridCol w:w="3312"/>
        <w:gridCol w:w="3312"/>
      </w:tblGrid>
      <w:tr>
        <w:tc>
          <w:tcPr>
            <w:tcW w:type="dxa" w:w="3024"/>
            <w:vAlign w:val="center"/>
            <w:shd w:fill="D9EAF7"/>
          </w:tcPr>
          <w:p>
            <w:r/>
            <w:r>
              <w:rPr>
                <w:rFonts w:ascii="Times New Roman" w:hAnsi="Times New Roman"/>
                <w:b/>
                <w:sz w:val="20"/>
              </w:rPr>
              <w:t>Scenario</w:t>
            </w:r>
          </w:p>
        </w:tc>
        <w:tc>
          <w:tcPr>
            <w:tcW w:type="dxa" w:w="4464"/>
            <w:vAlign w:val="center"/>
            <w:shd w:fill="D9EAF7"/>
          </w:tcPr>
          <w:p>
            <w:r/>
            <w:r>
              <w:rPr>
                <w:rFonts w:ascii="Times New Roman" w:hAnsi="Times New Roman"/>
                <w:b/>
                <w:sz w:val="20"/>
              </w:rPr>
              <w:t>Resources</w:t>
            </w:r>
          </w:p>
        </w:tc>
        <w:tc>
          <w:tcPr>
            <w:tcW w:type="dxa" w:w="2880"/>
            <w:vAlign w:val="center"/>
            <w:shd w:fill="D9EAF7"/>
          </w:tcPr>
          <w:p>
            <w:r/>
            <w:r>
              <w:rPr>
                <w:rFonts w:ascii="Times New Roman" w:hAnsi="Times New Roman"/>
                <w:b/>
                <w:sz w:val="20"/>
              </w:rPr>
              <w:t>Affected Areas</w:t>
            </w:r>
          </w:p>
        </w:tc>
      </w:tr>
      <w:tr>
        <w:tc>
          <w:tcPr>
            <w:tcW w:type="dxa" w:w="3024"/>
            <w:vAlign w:val="center"/>
          </w:tcPr>
          <w:p>
            <w:r/>
            <w:r>
              <w:rPr>
                <w:rFonts w:ascii="Times New Roman" w:hAnsi="Times New Roman"/>
                <w:b w:val="0"/>
                <w:sz w:val="19"/>
              </w:rPr>
              <w:t>Flood Relief Resource Allocation</w:t>
            </w:r>
          </w:p>
        </w:tc>
        <w:tc>
          <w:tcPr>
            <w:tcW w:type="dxa" w:w="4464"/>
            <w:vAlign w:val="center"/>
          </w:tcPr>
          <w:p>
            <w:r/>
            <w:r>
              <w:rPr>
                <w:rFonts w:ascii="Times New Roman" w:hAnsi="Times New Roman"/>
                <w:b w:val="0"/>
                <w:sz w:val="19"/>
              </w:rPr>
              <w:t>Food; Medicine; Rescue Boats; Temporary Shelters; Emergency Supplies</w:t>
            </w:r>
          </w:p>
        </w:tc>
        <w:tc>
          <w:tcPr>
            <w:tcW w:type="dxa" w:w="2880"/>
            <w:vAlign w:val="center"/>
          </w:tcPr>
          <w:p>
            <w:r/>
            <w:r>
              <w:rPr>
                <w:rFonts w:ascii="Times New Roman" w:hAnsi="Times New Roman"/>
                <w:b w:val="0"/>
                <w:sz w:val="19"/>
              </w:rPr>
              <w:t>Riverbend; Lakeside; Hillside</w:t>
            </w:r>
          </w:p>
        </w:tc>
      </w:tr>
      <w:tr>
        <w:tc>
          <w:tcPr>
            <w:tcW w:type="dxa" w:w="3024"/>
            <w:vAlign w:val="center"/>
          </w:tcPr>
          <w:p>
            <w:r/>
            <w:r>
              <w:rPr>
                <w:rFonts w:ascii="Times New Roman" w:hAnsi="Times New Roman"/>
                <w:b w:val="0"/>
                <w:sz w:val="19"/>
              </w:rPr>
              <w:t>Earthquake Emergency Response</w:t>
            </w:r>
          </w:p>
        </w:tc>
        <w:tc>
          <w:tcPr>
            <w:tcW w:type="dxa" w:w="4464"/>
            <w:vAlign w:val="center"/>
          </w:tcPr>
          <w:p>
            <w:r/>
            <w:r>
              <w:rPr>
                <w:rFonts w:ascii="Times New Roman" w:hAnsi="Times New Roman"/>
                <w:b w:val="0"/>
                <w:sz w:val="19"/>
              </w:rPr>
              <w:t>Rescue Teams; Medical Aid; Temporary Shelters; Debris Clearance Equipment</w:t>
            </w:r>
          </w:p>
        </w:tc>
        <w:tc>
          <w:tcPr>
            <w:tcW w:type="dxa" w:w="2880"/>
            <w:vAlign w:val="center"/>
          </w:tcPr>
          <w:p>
            <w:r/>
            <w:r>
              <w:rPr>
                <w:rFonts w:ascii="Times New Roman" w:hAnsi="Times New Roman"/>
                <w:b w:val="0"/>
                <w:sz w:val="19"/>
              </w:rPr>
              <w:t>North; Central; South Sectors</w:t>
            </w:r>
          </w:p>
        </w:tc>
      </w:tr>
      <w:tr>
        <w:tc>
          <w:tcPr>
            <w:tcW w:type="dxa" w:w="3024"/>
            <w:vAlign w:val="center"/>
          </w:tcPr>
          <w:p>
            <w:r/>
            <w:r>
              <w:rPr>
                <w:rFonts w:ascii="Times New Roman" w:hAnsi="Times New Roman"/>
                <w:b w:val="0"/>
                <w:sz w:val="19"/>
              </w:rPr>
              <w:t>Cyclone Relief Coordination</w:t>
            </w:r>
          </w:p>
        </w:tc>
        <w:tc>
          <w:tcPr>
            <w:tcW w:type="dxa" w:w="4464"/>
            <w:vAlign w:val="center"/>
          </w:tcPr>
          <w:p>
            <w:r/>
            <w:r>
              <w:rPr>
                <w:rFonts w:ascii="Times New Roman" w:hAnsi="Times New Roman"/>
                <w:b w:val="0"/>
                <w:sz w:val="19"/>
              </w:rPr>
              <w:t>Evacuation Transport; Food; Shelter Materials; Communication Equipment</w:t>
            </w:r>
          </w:p>
        </w:tc>
        <w:tc>
          <w:tcPr>
            <w:tcW w:type="dxa" w:w="2880"/>
            <w:vAlign w:val="center"/>
          </w:tcPr>
          <w:p>
            <w:r/>
            <w:r>
              <w:rPr>
                <w:rFonts w:ascii="Times New Roman" w:hAnsi="Times New Roman"/>
                <w:b w:val="0"/>
                <w:sz w:val="19"/>
              </w:rPr>
              <w:t>Coastal Region; Inland Valley; Port Authority Zone</w:t>
            </w:r>
          </w:p>
        </w:tc>
      </w:tr>
    </w:tbl>
    <w:p/>
    <w:p>
      <w:pPr>
        <w:pStyle w:val="Heading1"/>
      </w:pPr>
      <w:r>
        <w:t>10. AI-vs-AI Negotiation</w:t>
      </w:r>
    </w:p>
    <w:p>
      <w:r>
        <w:t>In AI-vs-AI mode, the configured Government, NGO and District Administration agents negotiate autonomously. The frontend starts a session through the negotiation API, after which the NegotiationOrchestrator creates the session and coordinates turns. Each turn includes the scenario, current state, previous proposals, objectives, constraints, personality and available resources.</w:t>
      </w:r>
    </w:p>
    <w:p>
      <w:pPr>
        <w:pStyle w:val="ListNumber"/>
      </w:pPr>
      <w:r>
        <w:t>The frontend sends a start request to the negotiation API.</w:t>
      </w:r>
    </w:p>
    <w:p>
      <w:pPr>
        <w:pStyle w:val="ListNumber"/>
      </w:pPr>
      <w:r>
        <w:t>The backend creates a session and initializes the configured agents.</w:t>
      </w:r>
    </w:p>
    <w:p>
      <w:pPr>
        <w:pStyle w:val="ListNumber"/>
      </w:pPr>
      <w:r>
        <w:t>The orchestrator prepares the context for the active agent.</w:t>
      </w:r>
    </w:p>
    <w:p>
      <w:pPr>
        <w:pStyle w:val="ListNumber"/>
      </w:pPr>
      <w:r>
        <w:t>The prompt builder creates a role- and personality-aware structured prompt.</w:t>
      </w:r>
    </w:p>
    <w:p>
      <w:pPr>
        <w:pStyle w:val="ListNumber"/>
      </w:pPr>
      <w:r>
        <w:t>Groq is attempted through the LLM provider path, with Gemini/fallback behavior available.</w:t>
      </w:r>
    </w:p>
    <w:p>
      <w:pPr>
        <w:pStyle w:val="ListNumber"/>
      </w:pPr>
      <w:r>
        <w:t>The generated response is normalized and its proposal is validated.</w:t>
      </w:r>
    </w:p>
    <w:p>
      <w:pPr>
        <w:pStyle w:val="ListNumber"/>
      </w:pPr>
      <w:r>
        <w:t>The turn is appended to the negotiation history and state is updated.</w:t>
      </w:r>
    </w:p>
    <w:p>
      <w:pPr>
        <w:pStyle w:val="ListNumber"/>
      </w:pPr>
      <w:r>
        <w:t>Consensus, deadlock and maximum-round checks determine whether another turn is required.</w:t>
      </w:r>
    </w:p>
    <w:p>
      <w:pPr>
        <w:pStyle w:val="ListNumber"/>
      </w:pPr>
      <w:r>
        <w:t>When the negotiation ends, the final allocation and outcome metrics are generated.</w:t>
      </w:r>
    </w:p>
    <w:p>
      <w:pPr>
        <w:pStyle w:val="Heading1"/>
      </w:pPr>
      <w:r>
        <w:t>11. Human-vs-AI Practice Mode</w:t>
      </w:r>
    </w:p>
    <w:p>
      <w:r>
        <w:t>Practice Mode adds a Human Participant to the same negotiation environment. The human can submit structured negotiation actions such as Offer, Counter, Accept or Reject. The backend validates the submitted move, records it in the transcript, and then allows the AI stakeholders to deliberate. Server-Sent Events are used so that AI responses can be received progressively.</w:t>
      </w:r>
    </w:p>
    <w:p>
      <w:r>
        <w:t>This design creates a human-in-the-loop training environment: the participant is not merely observing a simulation but actively negotiating against the AI stakeholders. The Practice Mode interface also exposes scenario details, the participant's role, available resource budget, negotiation progress and acceptance status.</w:t>
      </w:r>
    </w:p>
    <w:p>
      <w:pPr>
        <w:pStyle w:val="Heading1"/>
      </w:pPr>
      <w:r>
        <w:t>12. Consensus &amp; Deadlock Handling</w:t>
      </w:r>
    </w:p>
    <w:p>
      <w:pPr>
        <w:pStyle w:val="Heading2"/>
      </w:pPr>
      <w:r>
        <w:t>12.1 Consensus</w:t>
      </w:r>
    </w:p>
    <w:p>
      <w:r>
        <w:t>Consensus is modeled as explicit acceptance rather than inferred similarity. In Practice Mode, the system requires the Human Participant and all three AI participants to accept the same current proposal. The orchestrator compares the accepted proposal objects with the current proposal before marking the negotiation as agreed and producing the final allocation.</w:t>
      </w:r>
    </w:p>
    <w:p>
      <w:pPr>
        <w:pStyle w:val="Heading2"/>
      </w:pPr>
      <w:r>
        <w:t>12.2 Deadlock</w:t>
      </w:r>
    </w:p>
    <w:p>
      <w:pPr>
        <w:pStyle w:val="ListBullet"/>
      </w:pPr>
      <w:r>
        <w:t>AI-vs-AI deadlock detection considers repeated responses, repeated/counter proposals and negligible numerical movement.</w:t>
      </w:r>
    </w:p>
    <w:p>
      <w:pPr>
        <w:pStyle w:val="ListBullet"/>
      </w:pPr>
      <w:r>
        <w:t>A resolution or mediation path can be attempted before breakdown where supported by the negotiation flow.</w:t>
      </w:r>
    </w:p>
    <w:p>
      <w:pPr>
        <w:pStyle w:val="ListBullet"/>
      </w:pPr>
      <w:r>
        <w:t>Practice Mode uses a separate round-level deadlock detector.</w:t>
      </w:r>
    </w:p>
    <w:p>
      <w:pPr>
        <w:pStyle w:val="ListBullet"/>
      </w:pPr>
      <w:r>
        <w:t>Maximum-round termination is treated separately from deadlock.</w:t>
      </w:r>
    </w:p>
    <w:p>
      <w:pPr>
        <w:pStyle w:val="ListBullet"/>
      </w:pPr>
      <w:r>
        <w:t>A negotiation can therefore end because of consensus, deadlock or exhaustion of the configured round limit.</w:t>
      </w:r>
    </w:p>
    <w:p>
      <w:pPr>
        <w:pStyle w:val="Heading1"/>
      </w:pPr>
      <w:r>
        <w:t>13. Resource Allocation &amp; Proposal Validation</w:t>
      </w:r>
    </w:p>
    <w:p>
      <w:r>
        <w:t>Resource allocation is a constrained part of the negotiation engine. The system does not treat an LLM-generated proposal as authoritative merely because it is syntactically valid JSON. Proposal data is normalized and checked before it is allowed to change the negotiation state.</w:t>
      </w:r>
    </w:p>
    <w:p>
      <w:pPr>
        <w:pStyle w:val="ListBullet"/>
      </w:pPr>
      <w:r>
        <w:t>Resource names are normalized against the configured resource pool.</w:t>
      </w:r>
    </w:p>
    <w:p>
      <w:pPr>
        <w:pStyle w:val="ListBullet"/>
      </w:pPr>
      <w:r>
        <w:t>Negative quantities and non-numeric values are rejected.</w:t>
      </w:r>
    </w:p>
    <w:p>
      <w:pPr>
        <w:pStyle w:val="ListBullet"/>
      </w:pPr>
      <w:r>
        <w:t>An allocation for an individual resource cannot exceed the available quantity.</w:t>
      </w:r>
    </w:p>
    <w:p>
      <w:pPr>
        <w:pStyle w:val="ListBullet"/>
      </w:pPr>
      <w:r>
        <w:t>The aggregate allocation across affected areas cannot exceed the configured resource pool.</w:t>
      </w:r>
    </w:p>
    <w:p>
      <w:pPr>
        <w:pStyle w:val="ListBullet"/>
      </w:pPr>
      <w:r>
        <w:t>The prompt explicitly instructs agents to use only permitted resources and to make trade-offs.</w:t>
      </w:r>
    </w:p>
    <w:p>
      <w:pPr>
        <w:pStyle w:val="ListBullet"/>
      </w:pPr>
      <w:r>
        <w:t>The repository-level resource negotiation test checks that generated responses do not invent resources or exceed configured limits.</w:t>
      </w:r>
    </w:p>
    <w:p>
      <w:pPr>
        <w:pStyle w:val="Heading1"/>
      </w:pPr>
      <w:r>
        <w:t>14. LLM Integration — Groq + Gemini</w:t>
      </w:r>
    </w:p>
    <w:p>
      <w:r>
        <w:t>The project uses a provider abstraction centered on a Groq-first path with Gemini fallback behavior. The model layer is responsible for generating role-specific negotiation responses while the rest of the application maintains deterministic control over validation and state transitions. The supplied configuration reads the Groq model from GROQ_MODEL and supports Gemini configuration.</w:t>
      </w:r>
    </w:p>
    <w:p>
      <w:pPr>
        <w:pStyle w:val="Heading2"/>
      </w:pPr>
      <w:r>
        <w:t>14.1 Prompt Engineering</w:t>
      </w:r>
    </w:p>
    <w:p>
      <w:pPr>
        <w:pStyle w:val="ListBullet"/>
      </w:pPr>
      <w:r>
        <w:t>Persona identity, role, goal, priority and constraints are included.</w:t>
      </w:r>
    </w:p>
    <w:p>
      <w:pPr>
        <w:pStyle w:val="ListBullet"/>
      </w:pPr>
      <w:r>
        <w:t>The selected personality—Aggressive, Collaborative or Risk-Averse—conditions the negotiation style.</w:t>
      </w:r>
    </w:p>
    <w:p>
      <w:pPr>
        <w:pStyle w:val="ListBullet"/>
      </w:pPr>
      <w:r>
        <w:t>The current round and latest incoming proposal are included.</w:t>
      </w:r>
    </w:p>
    <w:p>
      <w:pPr>
        <w:pStyle w:val="ListBullet"/>
      </w:pPr>
      <w:r>
        <w:t>Available resources and quantities are explicitly enumerated.</w:t>
      </w:r>
    </w:p>
    <w:p>
      <w:pPr>
        <w:pStyle w:val="ListBullet"/>
      </w:pPr>
      <w:r>
        <w:t>Negotiation history and other agents' latest requests are provided as context.</w:t>
      </w:r>
    </w:p>
    <w:p>
      <w:pPr>
        <w:pStyle w:val="ListBullet"/>
      </w:pPr>
      <w:r>
        <w:t>Prompts impose resource-name and quantity constraints.</w:t>
      </w:r>
    </w:p>
    <w:p>
      <w:pPr>
        <w:pStyle w:val="ListBullet"/>
      </w:pPr>
      <w:r>
        <w:t>Agents are instructed to speak for their own operational allocation rather than directly dictate other stakeholders' shares.</w:t>
      </w:r>
    </w:p>
    <w:p>
      <w:pPr>
        <w:pStyle w:val="ListBullet"/>
      </w:pPr>
      <w:r>
        <w:t>The desired response is structured data containing agent speech, proposal information, reasoning and acceptance state.</w:t>
      </w:r>
    </w:p>
    <w:p>
      <w:pPr>
        <w:pStyle w:val="Heading2"/>
      </w:pPr>
      <w:r>
        <w:t>14.2 AI Usage Metrics</w:t>
      </w:r>
    </w:p>
    <w:p>
      <w:r>
        <w:t>The LLM service maintains aggregate request counts, input/output/total token counts and latency information. These metrics can support transparency and later evaluation of provider usage and negotiation performance.</w:t>
      </w:r>
    </w:p>
    <w:p>
      <w:pPr>
        <w:pStyle w:val="Heading1"/>
      </w:pPr>
      <w:r>
        <w:t>15. MongoDB Persistence &amp; History</w:t>
      </w:r>
    </w:p>
    <w:p>
      <w:r>
        <w:t>The backend contains a MongoDB persistence implementation using Motor. At startup, the application attempts to connect to MongoDB, verifies the connection and creates the required session index. Serializable negotiation state can be written through to the database when persistence is available. The History routes read stored sessions and make historical negotiations available for visualization and transcript inspection.</w:t>
      </w:r>
    </w:p>
    <w:p>
      <w:r>
        <w:t>The History interface shown in the supplied UI provides session cards containing scenario, mode, round progress and consensus information. Users can open a visualization or transcript for a previous session. This transforms the simulator from a one-time demo into a system where negotiation outcomes can be reviewed after completion.</w:t>
      </w:r>
    </w:p>
    <w:p>
      <w:pPr>
        <w:pStyle w:val="Heading1"/>
      </w:pPr>
      <w:r>
        <w:t>16. UI/UX and Negotiation Arena</w:t>
      </w:r>
    </w:p>
    <w:p>
      <w:r>
        <w:t>The frontend is designed as a dashboard-style application with a persistent navigation sidebar and dedicated workflow pages. The interface uses React components, Tailwind CSS styling and Lucide icons. The visual workflow follows the sequence Home → Scenarios → Configure → AI Arena/Practice → Outcome → History.</w:t>
      </w:r>
    </w:p>
    <w:p>
      <w:pPr>
        <w:pStyle w:val="ListBullet"/>
      </w:pPr>
      <w:r>
        <w:t>The Home page presents the purpose of the platform and quick entry points for AI simulation and Practice Mode.</w:t>
      </w:r>
    </w:p>
    <w:p>
      <w:pPr>
        <w:pStyle w:val="ListBullet"/>
      </w:pPr>
      <w:r>
        <w:t>The Scenario page presents three disaster scenarios as selectable cards.</w:t>
      </w:r>
    </w:p>
    <w:p>
      <w:pPr>
        <w:pStyle w:val="ListBullet"/>
      </w:pPr>
      <w:r>
        <w:t>The Configuration page presents stakeholder goals, constraints, personality controls, resources and affected areas.</w:t>
      </w:r>
    </w:p>
    <w:p>
      <w:pPr>
        <w:pStyle w:val="ListBullet"/>
      </w:pPr>
      <w:r>
        <w:t>The AI Arena presents a chronological negotiation transcript, proposal cards, progress indicators and current proposal state.</w:t>
      </w:r>
    </w:p>
    <w:p>
      <w:pPr>
        <w:pStyle w:val="ListBullet"/>
      </w:pPr>
      <w:r>
        <w:t>Practice Mode presents the human role, available budget, negotiation progress and AI responses.</w:t>
      </w:r>
    </w:p>
    <w:p>
      <w:pPr>
        <w:pStyle w:val="ListBullet"/>
      </w:pPr>
      <w:r>
        <w:t>Outcome presents agreement status, rounds, participants, resource trajectories, final allocation and agent performance.</w:t>
      </w:r>
    </w:p>
    <w:p>
      <w:pPr>
        <w:pStyle w:val="ListBullet"/>
      </w:pPr>
      <w:r>
        <w:t>History presents persisted sessions and replay/visualization controls.</w:t>
      </w:r>
    </w:p>
    <w:p>
      <w:pPr>
        <w:pStyle w:val="Heading1"/>
      </w:pPr>
      <w:r>
        <w:t>17. History Replay &amp; Outcome</w:t>
      </w:r>
    </w:p>
    <w:p>
      <w:r>
        <w:t>The Outcome module summarizes the final state of a negotiation. The demonstrated interface reports agreement status, number of rounds, number of participants and the round in which agreement was reached. It also provides analytical views such as resource trajectory curves, sector resource distribution, final resource allocation and agent performance.</w:t>
      </w:r>
    </w:p>
    <w:p>
      <w:r>
        <w:t>The replay-oriented design is useful for training because the same negotiation can be inspected after completion. Users can compare proposals, review concessions and examine how resource quantities moved toward the final allocation.</w:t>
      </w:r>
    </w:p>
    <w:p>
      <w:pPr>
        <w:pStyle w:val="Heading1"/>
      </w:pPr>
      <w:r>
        <w:t>18. API Design</w:t>
      </w:r>
    </w:p>
    <w:tbl>
      <w:tblPr>
        <w:tblStyle w:val="TableGrid"/>
        <w:tblW w:type="auto" w:w="0"/>
        <w:jc w:val="center"/>
        <w:tblLook w:firstColumn="1" w:firstRow="1" w:lastColumn="0" w:lastRow="0" w:noHBand="0" w:noVBand="1" w:val="04A0"/>
      </w:tblPr>
      <w:tblGrid>
        <w:gridCol w:w="3312"/>
        <w:gridCol w:w="3312"/>
        <w:gridCol w:w="3312"/>
      </w:tblGrid>
      <w:tr>
        <w:tc>
          <w:tcPr>
            <w:tcW w:type="dxa" w:w="3456"/>
            <w:vAlign w:val="center"/>
            <w:shd w:fill="D9EAF7"/>
          </w:tcPr>
          <w:p>
            <w:r/>
            <w:r>
              <w:rPr>
                <w:rFonts w:ascii="Times New Roman" w:hAnsi="Times New Roman"/>
                <w:b/>
                <w:sz w:val="20"/>
              </w:rPr>
              <w:t>Endpoint / Route</w:t>
            </w:r>
          </w:p>
        </w:tc>
        <w:tc>
          <w:tcPr>
            <w:tcW w:type="dxa" w:w="1440"/>
            <w:vAlign w:val="center"/>
            <w:shd w:fill="D9EAF7"/>
          </w:tcPr>
          <w:p>
            <w:r/>
            <w:r>
              <w:rPr>
                <w:rFonts w:ascii="Times New Roman" w:hAnsi="Times New Roman"/>
                <w:b/>
                <w:sz w:val="20"/>
              </w:rPr>
              <w:t>Method</w:t>
            </w:r>
          </w:p>
        </w:tc>
        <w:tc>
          <w:tcPr>
            <w:tcW w:type="dxa" w:w="5760"/>
            <w:vAlign w:val="center"/>
            <w:shd w:fill="D9EAF7"/>
          </w:tcPr>
          <w:p>
            <w:r/>
            <w:r>
              <w:rPr>
                <w:rFonts w:ascii="Times New Roman" w:hAnsi="Times New Roman"/>
                <w:b/>
                <w:sz w:val="20"/>
              </w:rPr>
              <w:t>Purpose</w:t>
            </w:r>
          </w:p>
        </w:tc>
      </w:tr>
      <w:tr>
        <w:tc>
          <w:tcPr>
            <w:tcW w:type="dxa" w:w="3456"/>
            <w:vAlign w:val="center"/>
          </w:tcPr>
          <w:p>
            <w:r/>
            <w:r>
              <w:rPr>
                <w:rFonts w:ascii="Times New Roman" w:hAnsi="Times New Roman"/>
                <w:b w:val="0"/>
                <w:sz w:val="19"/>
              </w:rPr>
              <w:t>/</w:t>
            </w:r>
          </w:p>
        </w:tc>
        <w:tc>
          <w:tcPr>
            <w:tcW w:type="dxa" w:w="1440"/>
            <w:vAlign w:val="center"/>
          </w:tcPr>
          <w:p>
            <w:r/>
            <w:r>
              <w:rPr>
                <w:rFonts w:ascii="Times New Roman" w:hAnsi="Times New Roman"/>
                <w:b w:val="0"/>
                <w:sz w:val="19"/>
              </w:rPr>
              <w:t>GET</w:t>
            </w:r>
          </w:p>
        </w:tc>
        <w:tc>
          <w:tcPr>
            <w:tcW w:type="dxa" w:w="5760"/>
            <w:vAlign w:val="center"/>
          </w:tcPr>
          <w:p>
            <w:r/>
            <w:r>
              <w:rPr>
                <w:rFonts w:ascii="Times New Roman" w:hAnsi="Times New Roman"/>
                <w:b w:val="0"/>
                <w:sz w:val="19"/>
              </w:rPr>
              <w:t>Root service status message.</w:t>
            </w:r>
          </w:p>
        </w:tc>
      </w:tr>
      <w:tr>
        <w:tc>
          <w:tcPr>
            <w:tcW w:type="dxa" w:w="3456"/>
            <w:vAlign w:val="center"/>
          </w:tcPr>
          <w:p>
            <w:r/>
            <w:r>
              <w:rPr>
                <w:rFonts w:ascii="Times New Roman" w:hAnsi="Times New Roman"/>
                <w:b w:val="0"/>
                <w:sz w:val="19"/>
              </w:rPr>
              <w:t>/api/health</w:t>
            </w:r>
          </w:p>
        </w:tc>
        <w:tc>
          <w:tcPr>
            <w:tcW w:type="dxa" w:w="1440"/>
            <w:vAlign w:val="center"/>
          </w:tcPr>
          <w:p>
            <w:r/>
            <w:r>
              <w:rPr>
                <w:rFonts w:ascii="Times New Roman" w:hAnsi="Times New Roman"/>
                <w:b w:val="0"/>
                <w:sz w:val="19"/>
              </w:rPr>
              <w:t>GET</w:t>
            </w:r>
          </w:p>
        </w:tc>
        <w:tc>
          <w:tcPr>
            <w:tcW w:type="dxa" w:w="5760"/>
            <w:vAlign w:val="center"/>
          </w:tcPr>
          <w:p>
            <w:r/>
            <w:r>
              <w:rPr>
                <w:rFonts w:ascii="Times New Roman" w:hAnsi="Times New Roman"/>
                <w:b w:val="0"/>
                <w:sz w:val="19"/>
              </w:rPr>
              <w:t>Backend health check.</w:t>
            </w:r>
          </w:p>
        </w:tc>
      </w:tr>
      <w:tr>
        <w:tc>
          <w:tcPr>
            <w:tcW w:type="dxa" w:w="3456"/>
            <w:vAlign w:val="center"/>
          </w:tcPr>
          <w:p>
            <w:r/>
            <w:r>
              <w:rPr>
                <w:rFonts w:ascii="Times New Roman" w:hAnsi="Times New Roman"/>
                <w:b w:val="0"/>
                <w:sz w:val="19"/>
              </w:rPr>
              <w:t>/api/negotiation/start</w:t>
            </w:r>
          </w:p>
        </w:tc>
        <w:tc>
          <w:tcPr>
            <w:tcW w:type="dxa" w:w="1440"/>
            <w:vAlign w:val="center"/>
          </w:tcPr>
          <w:p>
            <w:r/>
            <w:r>
              <w:rPr>
                <w:rFonts w:ascii="Times New Roman" w:hAnsi="Times New Roman"/>
                <w:b w:val="0"/>
                <w:sz w:val="19"/>
              </w:rPr>
              <w:t>POST</w:t>
            </w:r>
          </w:p>
        </w:tc>
        <w:tc>
          <w:tcPr>
            <w:tcW w:type="dxa" w:w="5760"/>
            <w:vAlign w:val="center"/>
          </w:tcPr>
          <w:p>
            <w:r/>
            <w:r>
              <w:rPr>
                <w:rFonts w:ascii="Times New Roman" w:hAnsi="Times New Roman"/>
                <w:b w:val="0"/>
                <w:sz w:val="19"/>
              </w:rPr>
              <w:t>Create an AI-vs-AI negotiation session.</w:t>
            </w:r>
          </w:p>
        </w:tc>
      </w:tr>
      <w:tr>
        <w:tc>
          <w:tcPr>
            <w:tcW w:type="dxa" w:w="3456"/>
            <w:vAlign w:val="center"/>
          </w:tcPr>
          <w:p>
            <w:r/>
            <w:r>
              <w:rPr>
                <w:rFonts w:ascii="Times New Roman" w:hAnsi="Times New Roman"/>
                <w:b w:val="0"/>
                <w:sz w:val="19"/>
              </w:rPr>
              <w:t>/api/negotiation/turn</w:t>
            </w:r>
          </w:p>
        </w:tc>
        <w:tc>
          <w:tcPr>
            <w:tcW w:type="dxa" w:w="1440"/>
            <w:vAlign w:val="center"/>
          </w:tcPr>
          <w:p>
            <w:r/>
            <w:r>
              <w:rPr>
                <w:rFonts w:ascii="Times New Roman" w:hAnsi="Times New Roman"/>
                <w:b w:val="0"/>
                <w:sz w:val="19"/>
              </w:rPr>
              <w:t>POST</w:t>
            </w:r>
          </w:p>
        </w:tc>
        <w:tc>
          <w:tcPr>
            <w:tcW w:type="dxa" w:w="5760"/>
            <w:vAlign w:val="center"/>
          </w:tcPr>
          <w:p>
            <w:r/>
            <w:r>
              <w:rPr>
                <w:rFonts w:ascii="Times New Roman" w:hAnsi="Times New Roman"/>
                <w:b w:val="0"/>
                <w:sz w:val="19"/>
              </w:rPr>
              <w:t>Execute the next AI negotiation turn.</w:t>
            </w:r>
          </w:p>
        </w:tc>
      </w:tr>
      <w:tr>
        <w:tc>
          <w:tcPr>
            <w:tcW w:type="dxa" w:w="3456"/>
            <w:vAlign w:val="center"/>
          </w:tcPr>
          <w:p>
            <w:r/>
            <w:r>
              <w:rPr>
                <w:rFonts w:ascii="Times New Roman" w:hAnsi="Times New Roman"/>
                <w:b w:val="0"/>
                <w:sz w:val="19"/>
              </w:rPr>
              <w:t>/api/negotiation/reset</w:t>
            </w:r>
          </w:p>
        </w:tc>
        <w:tc>
          <w:tcPr>
            <w:tcW w:type="dxa" w:w="1440"/>
            <w:vAlign w:val="center"/>
          </w:tcPr>
          <w:p>
            <w:r/>
            <w:r>
              <w:rPr>
                <w:rFonts w:ascii="Times New Roman" w:hAnsi="Times New Roman"/>
                <w:b w:val="0"/>
                <w:sz w:val="19"/>
              </w:rPr>
              <w:t>POST</w:t>
            </w:r>
          </w:p>
        </w:tc>
        <w:tc>
          <w:tcPr>
            <w:tcW w:type="dxa" w:w="5760"/>
            <w:vAlign w:val="center"/>
          </w:tcPr>
          <w:p>
            <w:r/>
            <w:r>
              <w:rPr>
                <w:rFonts w:ascii="Times New Roman" w:hAnsi="Times New Roman"/>
                <w:b w:val="0"/>
                <w:sz w:val="19"/>
              </w:rPr>
              <w:t>Create a fresh negotiation session.</w:t>
            </w:r>
          </w:p>
        </w:tc>
      </w:tr>
      <w:tr>
        <w:tc>
          <w:tcPr>
            <w:tcW w:type="dxa" w:w="3456"/>
            <w:vAlign w:val="center"/>
          </w:tcPr>
          <w:p>
            <w:r/>
            <w:r>
              <w:rPr>
                <w:rFonts w:ascii="Times New Roman" w:hAnsi="Times New Roman"/>
                <w:b w:val="0"/>
                <w:sz w:val="19"/>
              </w:rPr>
              <w:t>/api/practice/start</w:t>
            </w:r>
          </w:p>
        </w:tc>
        <w:tc>
          <w:tcPr>
            <w:tcW w:type="dxa" w:w="1440"/>
            <w:vAlign w:val="center"/>
          </w:tcPr>
          <w:p>
            <w:r/>
            <w:r>
              <w:rPr>
                <w:rFonts w:ascii="Times New Roman" w:hAnsi="Times New Roman"/>
                <w:b w:val="0"/>
                <w:sz w:val="19"/>
              </w:rPr>
              <w:t>POST</w:t>
            </w:r>
          </w:p>
        </w:tc>
        <w:tc>
          <w:tcPr>
            <w:tcW w:type="dxa" w:w="5760"/>
            <w:vAlign w:val="center"/>
          </w:tcPr>
          <w:p>
            <w:r/>
            <w:r>
              <w:rPr>
                <w:rFonts w:ascii="Times New Roman" w:hAnsi="Times New Roman"/>
                <w:b w:val="0"/>
                <w:sz w:val="19"/>
              </w:rPr>
              <w:t>Initialize Human-vs-AI Practice Mode.</w:t>
            </w:r>
          </w:p>
        </w:tc>
      </w:tr>
      <w:tr>
        <w:tc>
          <w:tcPr>
            <w:tcW w:type="dxa" w:w="3456"/>
            <w:vAlign w:val="center"/>
          </w:tcPr>
          <w:p>
            <w:r/>
            <w:r>
              <w:rPr>
                <w:rFonts w:ascii="Times New Roman" w:hAnsi="Times New Roman"/>
                <w:b w:val="0"/>
                <w:sz w:val="19"/>
              </w:rPr>
              <w:t>/api/practice/turn</w:t>
            </w:r>
          </w:p>
        </w:tc>
        <w:tc>
          <w:tcPr>
            <w:tcW w:type="dxa" w:w="1440"/>
            <w:vAlign w:val="center"/>
          </w:tcPr>
          <w:p>
            <w:r/>
            <w:r>
              <w:rPr>
                <w:rFonts w:ascii="Times New Roman" w:hAnsi="Times New Roman"/>
                <w:b w:val="0"/>
                <w:sz w:val="19"/>
              </w:rPr>
              <w:t>POST</w:t>
            </w:r>
          </w:p>
        </w:tc>
        <w:tc>
          <w:tcPr>
            <w:tcW w:type="dxa" w:w="5760"/>
            <w:vAlign w:val="center"/>
          </w:tcPr>
          <w:p>
            <w:r/>
            <w:r>
              <w:rPr>
                <w:rFonts w:ascii="Times New Roman" w:hAnsi="Times New Roman"/>
                <w:b w:val="0"/>
                <w:sz w:val="19"/>
              </w:rPr>
              <w:t>Submit a human move and execute AI responses.</w:t>
            </w:r>
          </w:p>
        </w:tc>
      </w:tr>
      <w:tr>
        <w:tc>
          <w:tcPr>
            <w:tcW w:type="dxa" w:w="3456"/>
            <w:vAlign w:val="center"/>
          </w:tcPr>
          <w:p>
            <w:r/>
            <w:r>
              <w:rPr>
                <w:rFonts w:ascii="Times New Roman" w:hAnsi="Times New Roman"/>
                <w:b w:val="0"/>
                <w:sz w:val="19"/>
              </w:rPr>
              <w:t>History routes</w:t>
            </w:r>
          </w:p>
        </w:tc>
        <w:tc>
          <w:tcPr>
            <w:tcW w:type="dxa" w:w="1440"/>
            <w:vAlign w:val="center"/>
          </w:tcPr>
          <w:p>
            <w:r/>
            <w:r>
              <w:rPr>
                <w:rFonts w:ascii="Times New Roman" w:hAnsi="Times New Roman"/>
                <w:b w:val="0"/>
                <w:sz w:val="19"/>
              </w:rPr>
              <w:t>GET/DELETE</w:t>
            </w:r>
          </w:p>
        </w:tc>
        <w:tc>
          <w:tcPr>
            <w:tcW w:type="dxa" w:w="5760"/>
            <w:vAlign w:val="center"/>
          </w:tcPr>
          <w:p>
            <w:r/>
            <w:r>
              <w:rPr>
                <w:rFonts w:ascii="Times New Roman" w:hAnsi="Times New Roman"/>
                <w:b w:val="0"/>
                <w:sz w:val="19"/>
              </w:rPr>
              <w:t>List, retrieve and manage persisted negotiation sessions.</w:t>
            </w:r>
          </w:p>
        </w:tc>
      </w:tr>
    </w:tbl>
    <w:p/>
    <w:p>
      <w:pPr>
        <w:pStyle w:val="Heading1"/>
      </w:pPr>
      <w:r>
        <w:t>19. Testing &amp; Validation</w:t>
      </w:r>
    </w:p>
    <w:p>
      <w:r>
        <w:t>The repository contains targeted tests covering core negotiation behavior, proposal validation, deadlock, concession calculation, Practice Mode, suggestion generation, orchestrator execution and MongoDB connection behavior.</w:t>
      </w:r>
    </w:p>
    <w:p>
      <w:pPr>
        <w:pStyle w:val="ListBullet"/>
      </w:pPr>
      <w:r>
        <w:t>Resource quantity and invented-resource validation.</w:t>
      </w:r>
    </w:p>
    <w:p>
      <w:pPr>
        <w:pStyle w:val="ListBullet"/>
      </w:pPr>
      <w:r>
        <w:t>AI-vs-AI deadlock behavior.</w:t>
      </w:r>
    </w:p>
    <w:p>
      <w:pPr>
        <w:pStyle w:val="ListBullet"/>
      </w:pPr>
      <w:r>
        <w:t>Practice Mode deadlock behavior.</w:t>
      </w:r>
    </w:p>
    <w:p>
      <w:pPr>
        <w:pStyle w:val="ListBullet"/>
      </w:pPr>
      <w:r>
        <w:t>Concession calculation and nested proposal comparison.</w:t>
      </w:r>
    </w:p>
    <w:p>
      <w:pPr>
        <w:pStyle w:val="ListBullet"/>
      </w:pPr>
      <w:r>
        <w:t>Practice roundtable behavior.</w:t>
      </w:r>
    </w:p>
    <w:p>
      <w:pPr>
        <w:pStyle w:val="ListBullet"/>
      </w:pPr>
      <w:r>
        <w:t>Suggestion generation.</w:t>
      </w:r>
    </w:p>
    <w:p>
      <w:pPr>
        <w:pStyle w:val="ListBullet"/>
      </w:pPr>
      <w:r>
        <w:t>Negotiation/orchestrator execution and context behavior.</w:t>
      </w:r>
    </w:p>
    <w:p>
      <w:pPr>
        <w:pStyle w:val="ListBullet"/>
      </w:pPr>
      <w:r>
        <w:t>MongoDB connection checks.</w:t>
      </w:r>
    </w:p>
    <w:p>
      <w:pPr>
        <w:pStyle w:val="Heading2"/>
      </w:pPr>
      <w:r>
        <w:t>19.1 Verification Snapshot</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
              <w:rPr>
                <w:rFonts w:ascii="Times New Roman" w:hAnsi="Times New Roman"/>
                <w:b/>
                <w:sz w:val="20"/>
              </w:rPr>
              <w:t>Check</w:t>
            </w:r>
          </w:p>
        </w:tc>
        <w:tc>
          <w:tcPr>
            <w:tcW w:type="dxa" w:w="2088"/>
            <w:vAlign w:val="center"/>
            <w:shd w:fill="D9EAF7"/>
          </w:tcPr>
          <w:p>
            <w:r/>
            <w:r>
              <w:rPr>
                <w:rFonts w:ascii="Times New Roman" w:hAnsi="Times New Roman"/>
                <w:b/>
                <w:sz w:val="20"/>
              </w:rPr>
              <w:t>Result</w:t>
            </w:r>
          </w:p>
        </w:tc>
        <w:tc>
          <w:tcPr>
            <w:tcW w:type="dxa" w:w="5688"/>
            <w:vAlign w:val="center"/>
            <w:shd w:fill="D9EAF7"/>
          </w:tcPr>
          <w:p>
            <w:r/>
            <w:r>
              <w:rPr>
                <w:rFonts w:ascii="Times New Roman" w:hAnsi="Times New Roman"/>
                <w:b/>
                <w:sz w:val="20"/>
              </w:rPr>
              <w:t>Interpretation</w:t>
            </w:r>
          </w:p>
        </w:tc>
      </w:tr>
      <w:tr>
        <w:tc>
          <w:tcPr>
            <w:tcW w:type="dxa" w:w="2880"/>
            <w:vAlign w:val="center"/>
          </w:tcPr>
          <w:p>
            <w:r/>
            <w:r>
              <w:rPr>
                <w:rFonts w:ascii="Times New Roman" w:hAnsi="Times New Roman"/>
                <w:b w:val="0"/>
                <w:sz w:val="19"/>
              </w:rPr>
              <w:t>Python AST parsing</w:t>
            </w:r>
          </w:p>
        </w:tc>
        <w:tc>
          <w:tcPr>
            <w:tcW w:type="dxa" w:w="2088"/>
            <w:vAlign w:val="center"/>
          </w:tcPr>
          <w:p>
            <w:r/>
            <w:r>
              <w:rPr>
                <w:rFonts w:ascii="Times New Roman" w:hAnsi="Times New Roman"/>
                <w:b w:val="0"/>
                <w:sz w:val="19"/>
              </w:rPr>
              <w:t>PASS</w:t>
            </w:r>
          </w:p>
        </w:tc>
        <w:tc>
          <w:tcPr>
            <w:tcW w:type="dxa" w:w="5688"/>
            <w:vAlign w:val="center"/>
          </w:tcPr>
          <w:p>
            <w:r/>
            <w:r>
              <w:rPr>
                <w:rFonts w:ascii="Times New Roman" w:hAnsi="Times New Roman"/>
                <w:b w:val="0"/>
                <w:sz w:val="19"/>
              </w:rPr>
              <w:t>All supplied Python source files parsed successfully.</w:t>
            </w:r>
          </w:p>
        </w:tc>
      </w:tr>
      <w:tr>
        <w:tc>
          <w:tcPr>
            <w:tcW w:type="dxa" w:w="2880"/>
            <w:vAlign w:val="center"/>
          </w:tcPr>
          <w:p>
            <w:r/>
            <w:r>
              <w:rPr>
                <w:rFonts w:ascii="Times New Roman" w:hAnsi="Times New Roman"/>
                <w:b w:val="0"/>
                <w:sz w:val="19"/>
              </w:rPr>
              <w:t>python -m compileall backend</w:t>
            </w:r>
          </w:p>
        </w:tc>
        <w:tc>
          <w:tcPr>
            <w:tcW w:type="dxa" w:w="2088"/>
            <w:vAlign w:val="center"/>
          </w:tcPr>
          <w:p>
            <w:r/>
            <w:r>
              <w:rPr>
                <w:rFonts w:ascii="Times New Roman" w:hAnsi="Times New Roman"/>
                <w:b w:val="0"/>
                <w:sz w:val="19"/>
              </w:rPr>
              <w:t>PASS</w:t>
            </w:r>
          </w:p>
        </w:tc>
        <w:tc>
          <w:tcPr>
            <w:tcW w:type="dxa" w:w="5688"/>
            <w:vAlign w:val="center"/>
          </w:tcPr>
          <w:p>
            <w:r/>
            <w:r>
              <w:rPr>
                <w:rFonts w:ascii="Times New Roman" w:hAnsi="Times New Roman"/>
                <w:b w:val="0"/>
                <w:sz w:val="19"/>
              </w:rPr>
              <w:t>Python source compiled successfully in the analysis environment.</w:t>
            </w:r>
          </w:p>
        </w:tc>
      </w:tr>
      <w:tr>
        <w:tc>
          <w:tcPr>
            <w:tcW w:type="dxa" w:w="2880"/>
            <w:vAlign w:val="center"/>
          </w:tcPr>
          <w:p>
            <w:r/>
            <w:r>
              <w:rPr>
                <w:rFonts w:ascii="Times New Roman" w:hAnsi="Times New Roman"/>
                <w:b w:val="0"/>
                <w:sz w:val="19"/>
              </w:rPr>
              <w:t>pytest -q</w:t>
            </w:r>
          </w:p>
        </w:tc>
        <w:tc>
          <w:tcPr>
            <w:tcW w:type="dxa" w:w="2088"/>
            <w:vAlign w:val="center"/>
          </w:tcPr>
          <w:p>
            <w:r/>
            <w:r>
              <w:rPr>
                <w:rFonts w:ascii="Times New Roman" w:hAnsi="Times New Roman"/>
                <w:b w:val="0"/>
                <w:sz w:val="19"/>
              </w:rPr>
              <w:t>Blocked at collection</w:t>
            </w:r>
          </w:p>
        </w:tc>
        <w:tc>
          <w:tcPr>
            <w:tcW w:type="dxa" w:w="5688"/>
            <w:vAlign w:val="center"/>
          </w:tcPr>
          <w:p>
            <w:r/>
            <w:r>
              <w:rPr>
                <w:rFonts w:ascii="Times New Roman" w:hAnsi="Times New Roman"/>
                <w:b w:val="0"/>
                <w:sz w:val="19"/>
              </w:rPr>
              <w:t>Import-path/dependency setup in the analysis environment prevented clean test collection.</w:t>
            </w:r>
          </w:p>
        </w:tc>
      </w:tr>
      <w:tr>
        <w:tc>
          <w:tcPr>
            <w:tcW w:type="dxa" w:w="2880"/>
            <w:vAlign w:val="center"/>
          </w:tcPr>
          <w:p>
            <w:r/>
            <w:r>
              <w:rPr>
                <w:rFonts w:ascii="Times New Roman" w:hAnsi="Times New Roman"/>
                <w:b w:val="0"/>
                <w:sz w:val="19"/>
              </w:rPr>
              <w:t>Frontend build</w:t>
            </w:r>
          </w:p>
        </w:tc>
        <w:tc>
          <w:tcPr>
            <w:tcW w:type="dxa" w:w="2088"/>
            <w:vAlign w:val="center"/>
          </w:tcPr>
          <w:p>
            <w:r/>
            <w:r>
              <w:rPr>
                <w:rFonts w:ascii="Times New Roman" w:hAnsi="Times New Roman"/>
                <w:b w:val="0"/>
                <w:sz w:val="19"/>
              </w:rPr>
              <w:t>Not run</w:t>
            </w:r>
          </w:p>
        </w:tc>
        <w:tc>
          <w:tcPr>
            <w:tcW w:type="dxa" w:w="5688"/>
            <w:vAlign w:val="center"/>
          </w:tcPr>
          <w:p>
            <w:r/>
            <w:r>
              <w:rPr>
                <w:rFonts w:ascii="Times New Roman" w:hAnsi="Times New Roman"/>
                <w:b w:val="0"/>
                <w:sz w:val="19"/>
              </w:rPr>
              <w:t>The supplied extracted project did not contain frontend/node_modules; dependency installation is required before the build.</w:t>
            </w:r>
          </w:p>
        </w:tc>
      </w:tr>
    </w:tbl>
    <w:p/>
    <w:p>
      <w:pPr>
        <w:pStyle w:val="Heading1"/>
      </w:pPr>
      <w:r>
        <w:t>20. Results</w:t>
      </w:r>
    </w:p>
    <w:p>
      <w:r>
        <w:t>The implemented platform demonstrates the complete negotiation workflow from scenario selection through configuration, simulation, outcome analysis and history. The supplied UI screenshots show three available disaster scenarios, three configured stakeholder agents, configurable personalities and resource quantities, AI-vs-AI negotiation, Human-vs-AI Practice Mode, outcome analytics and a persistent History interface.</w:t>
      </w:r>
    </w:p>
    <w:p>
      <w:pPr>
        <w:pStyle w:val="Heading2"/>
      </w:pPr>
      <w:r>
        <w:t>20.1 Demonstrated Outcome</w:t>
      </w:r>
    </w:p>
    <w:p>
      <w:r>
        <w:t>In the demonstrated outcome screen, the Flood Relief Resource Allocation scenario reaches an agreement after three rounds with four participants. The displayed final resource totals are 40 rescue teams, 300 units of medical aid, 200 temporary shelters and 35 units of debris clearance equipment. The interface also reports agent satisfaction and concession/action counts, allowing the negotiation to be evaluated beyond the final allocation alone.</w:t>
      </w:r>
    </w:p>
    <w:p>
      <w:r>
        <w:t>These values describe the displayed demonstration session and should not be interpreted as a general performance benchmark for all possible scenarios or configurations.</w:t>
      </w:r>
    </w:p>
    <w:p>
      <w:pPr>
        <w:pStyle w:val="Heading1"/>
      </w:pPr>
      <w:r>
        <w:t>21. Screenshots</w:t>
      </w:r>
    </w:p>
    <w:p>
      <w:r>
        <w:t>The following figures document the implemented user interface and demonstrate the major project modules. Each screenshot is captioned according to its role in the system workflow.</w:t>
      </w:r>
    </w:p>
    <w:p>
      <w:pPr>
        <w:jc w:val="center"/>
      </w:pPr>
      <w:r>
        <w:drawing>
          <wp:inline xmlns:a="http://schemas.openxmlformats.org/drawingml/2006/main" xmlns:pic="http://schemas.openxmlformats.org/drawingml/2006/picture">
            <wp:extent cx="6126480" cy="3166624"/>
            <wp:docPr id="1" name="Picture 1"/>
            <wp:cNvGraphicFramePr>
              <a:graphicFrameLocks noChangeAspect="1"/>
            </wp:cNvGraphicFramePr>
            <a:graphic>
              <a:graphicData uri="http://schemas.openxmlformats.org/drawingml/2006/picture">
                <pic:pic>
                  <pic:nvPicPr>
                    <pic:cNvPr id="0" name="dbad0be1-068d-4ee6-8bdc-04227f1e948e.jpeg"/>
                    <pic:cNvPicPr/>
                  </pic:nvPicPr>
                  <pic:blipFill>
                    <a:blip r:embed="rId11"/>
                    <a:stretch>
                      <a:fillRect/>
                    </a:stretch>
                  </pic:blipFill>
                  <pic:spPr>
                    <a:xfrm>
                      <a:off x="0" y="0"/>
                      <a:ext cx="6126480" cy="3166624"/>
                    </a:xfrm>
                    <a:prstGeom prst="rect"/>
                  </pic:spPr>
                </pic:pic>
              </a:graphicData>
            </a:graphic>
          </wp:inline>
        </w:drawing>
      </w:r>
    </w:p>
    <w:p>
      <w:pPr>
        <w:pStyle w:val="FigureCaption"/>
      </w:pPr>
      <w:r>
        <w:t>Figure 1. DRNS home page and platform overview.</w:t>
      </w:r>
    </w:p>
    <w:p>
      <w:pPr>
        <w:jc w:val="center"/>
      </w:pPr>
      <w:r>
        <w:drawing>
          <wp:inline xmlns:a="http://schemas.openxmlformats.org/drawingml/2006/main" xmlns:pic="http://schemas.openxmlformats.org/drawingml/2006/picture">
            <wp:extent cx="6126480" cy="3162795"/>
            <wp:docPr id="2" name="Picture 2"/>
            <wp:cNvGraphicFramePr>
              <a:graphicFrameLocks noChangeAspect="1"/>
            </wp:cNvGraphicFramePr>
            <a:graphic>
              <a:graphicData uri="http://schemas.openxmlformats.org/drawingml/2006/picture">
                <pic:pic>
                  <pic:nvPicPr>
                    <pic:cNvPr id="0" name="14423c98-ceab-4210-bc10-85b0226be67b.jpeg"/>
                    <pic:cNvPicPr/>
                  </pic:nvPicPr>
                  <pic:blipFill>
                    <a:blip r:embed="rId12"/>
                    <a:stretch>
                      <a:fillRect/>
                    </a:stretch>
                  </pic:blipFill>
                  <pic:spPr>
                    <a:xfrm>
                      <a:off x="0" y="0"/>
                      <a:ext cx="6126480" cy="3162795"/>
                    </a:xfrm>
                    <a:prstGeom prst="rect"/>
                  </pic:spPr>
                </pic:pic>
              </a:graphicData>
            </a:graphic>
          </wp:inline>
        </w:drawing>
      </w:r>
    </w:p>
    <w:p>
      <w:pPr>
        <w:jc w:val="center"/>
      </w:pPr>
      <w:r>
        <w:drawing>
          <wp:inline xmlns:a="http://schemas.openxmlformats.org/drawingml/2006/main" xmlns:pic="http://schemas.openxmlformats.org/drawingml/2006/picture">
            <wp:extent cx="6126480" cy="3139821"/>
            <wp:docPr id="8" name="Picture 8"/>
            <wp:cNvGraphicFramePr>
              <a:graphicFrameLocks noChangeAspect="1"/>
            </wp:cNvGraphicFramePr>
            <a:graphic>
              <a:graphicData uri="http://schemas.openxmlformats.org/drawingml/2006/picture">
                <pic:pic>
                  <pic:nvPicPr>
                    <pic:cNvPr id="0" name="6acac7b6-9810-44ec-a955-be01591c3187.jpeg"/>
                    <pic:cNvPicPr/>
                  </pic:nvPicPr>
                  <pic:blipFill>
                    <a:blip r:embed="rId18"/>
                    <a:stretch>
                      <a:fillRect/>
                    </a:stretch>
                  </pic:blipFill>
                  <pic:spPr>
                    <a:xfrm>
                      <a:off x="0" y="0"/>
                      <a:ext cx="6126480" cy="3139821"/>
                    </a:xfrm>
                    <a:prstGeom prst="rect"/>
                  </pic:spPr>
                </pic:pic>
              </a:graphicData>
            </a:graphic>
          </wp:inline>
        </w:drawing>
      </w:r>
    </w:p>
    <w:p>
      <w:pPr>
        <w:pStyle w:val="FigureCaption"/>
        <w:jc w:val="center"/>
      </w:pPr>
      <w:r>
        <w:t>Figure 2. Scenario selection screen.</w:t>
      </w:r>
    </w:p>
    <w:p>
      <w:pPr>
        <w:pStyle w:val="FigureCaption"/>
      </w:pPr>
      <w:r>
        <w:t>Figure 3. Agent configuration and resource setup.</w:t>
      </w:r>
    </w:p>
    <w:p>
      <w:pPr>
        <w:jc w:val="center"/>
      </w:pPr>
      <w:r>
        <w:drawing>
          <wp:inline xmlns:a="http://schemas.openxmlformats.org/drawingml/2006/main" xmlns:pic="http://schemas.openxmlformats.org/drawingml/2006/picture">
            <wp:extent cx="6126480" cy="3147479"/>
            <wp:docPr id="3" name="Picture 3"/>
            <wp:cNvGraphicFramePr>
              <a:graphicFrameLocks noChangeAspect="1"/>
            </wp:cNvGraphicFramePr>
            <a:graphic>
              <a:graphicData uri="http://schemas.openxmlformats.org/drawingml/2006/picture">
                <pic:pic>
                  <pic:nvPicPr>
                    <pic:cNvPr id="0" name="153ac32e-ec89-4ab3-ab78-1e5ff09b7dae.jpeg"/>
                    <pic:cNvPicPr/>
                  </pic:nvPicPr>
                  <pic:blipFill>
                    <a:blip r:embed="rId13"/>
                    <a:stretch>
                      <a:fillRect/>
                    </a:stretch>
                  </pic:blipFill>
                  <pic:spPr>
                    <a:xfrm>
                      <a:off x="0" y="0"/>
                      <a:ext cx="6126480" cy="3147479"/>
                    </a:xfrm>
                    <a:prstGeom prst="rect"/>
                  </pic:spPr>
                </pic:pic>
              </a:graphicData>
            </a:graphic>
          </wp:inline>
        </w:drawing>
      </w:r>
    </w:p>
    <w:p>
      <w:pPr>
        <w:pStyle w:val="FigureCaption"/>
      </w:pPr>
      <w:r>
        <w:t>Figure 4. AI-vs-AI negotiation arena and live transcript.</w:t>
      </w:r>
    </w:p>
    <w:p>
      <w:pPr>
        <w:jc w:val="center"/>
      </w:pPr>
      <w:r>
        <w:drawing>
          <wp:inline xmlns:a="http://schemas.openxmlformats.org/drawingml/2006/main" xmlns:pic="http://schemas.openxmlformats.org/drawingml/2006/picture">
            <wp:extent cx="6126480" cy="3166624"/>
            <wp:docPr id="4" name="Picture 4"/>
            <wp:cNvGraphicFramePr>
              <a:graphicFrameLocks noChangeAspect="1"/>
            </wp:cNvGraphicFramePr>
            <a:graphic>
              <a:graphicData uri="http://schemas.openxmlformats.org/drawingml/2006/picture">
                <pic:pic>
                  <pic:nvPicPr>
                    <pic:cNvPr id="0" name="6f2d937e-36fc-4d92-a114-ac4b4c64a0f4.jpeg"/>
                    <pic:cNvPicPr/>
                  </pic:nvPicPr>
                  <pic:blipFill>
                    <a:blip r:embed="rId14"/>
                    <a:stretch>
                      <a:fillRect/>
                    </a:stretch>
                  </pic:blipFill>
                  <pic:spPr>
                    <a:xfrm>
                      <a:off x="0" y="0"/>
                      <a:ext cx="6126480" cy="3166624"/>
                    </a:xfrm>
                    <a:prstGeom prst="rect"/>
                  </pic:spPr>
                </pic:pic>
              </a:graphicData>
            </a:graphic>
          </wp:inline>
        </w:drawing>
      </w:r>
    </w:p>
    <w:p>
      <w:pPr>
        <w:pStyle w:val="FigureCaption"/>
      </w:pPr>
      <w:r>
        <w:t>Figure 5. Human-vs-AI Practice Mode.</w:t>
      </w:r>
    </w:p>
    <w:p>
      <w:pPr>
        <w:jc w:val="center"/>
      </w:pPr>
      <w:r>
        <w:drawing>
          <wp:inline xmlns:a="http://schemas.openxmlformats.org/drawingml/2006/main" xmlns:pic="http://schemas.openxmlformats.org/drawingml/2006/picture">
            <wp:extent cx="6126480" cy="3151308"/>
            <wp:docPr id="5" name="Picture 5"/>
            <wp:cNvGraphicFramePr>
              <a:graphicFrameLocks noChangeAspect="1"/>
            </wp:cNvGraphicFramePr>
            <a:graphic>
              <a:graphicData uri="http://schemas.openxmlformats.org/drawingml/2006/picture">
                <pic:pic>
                  <pic:nvPicPr>
                    <pic:cNvPr id="0" name="3d8769d0-3fb5-46f6-912d-873905a198fe.jpeg"/>
                    <pic:cNvPicPr/>
                  </pic:nvPicPr>
                  <pic:blipFill>
                    <a:blip r:embed="rId15"/>
                    <a:stretch>
                      <a:fillRect/>
                    </a:stretch>
                  </pic:blipFill>
                  <pic:spPr>
                    <a:xfrm>
                      <a:off x="0" y="0"/>
                      <a:ext cx="6126480" cy="3151308"/>
                    </a:xfrm>
                    <a:prstGeom prst="rect"/>
                  </pic:spPr>
                </pic:pic>
              </a:graphicData>
            </a:graphic>
          </wp:inline>
        </w:drawing>
      </w:r>
    </w:p>
    <w:p>
      <w:pPr>
        <w:pStyle w:val="FigureCaption"/>
      </w:pPr>
      <w:r>
        <w:t>Figure 6. Negotiation outcome and analytics.</w:t>
      </w:r>
    </w:p>
    <w:p>
      <w:pPr>
        <w:jc w:val="center"/>
      </w:pPr>
      <w:r>
        <w:drawing>
          <wp:inline xmlns:a="http://schemas.openxmlformats.org/drawingml/2006/main" xmlns:pic="http://schemas.openxmlformats.org/drawingml/2006/picture">
            <wp:extent cx="6126480" cy="3147479"/>
            <wp:docPr id="6" name="Picture 6"/>
            <wp:cNvGraphicFramePr>
              <a:graphicFrameLocks noChangeAspect="1"/>
            </wp:cNvGraphicFramePr>
            <a:graphic>
              <a:graphicData uri="http://schemas.openxmlformats.org/drawingml/2006/picture">
                <pic:pic>
                  <pic:nvPicPr>
                    <pic:cNvPr id="0" name="6dafe725-c859-4577-bafd-312b29d20166.jpeg"/>
                    <pic:cNvPicPr/>
                  </pic:nvPicPr>
                  <pic:blipFill>
                    <a:blip r:embed="rId16"/>
                    <a:stretch>
                      <a:fillRect/>
                    </a:stretch>
                  </pic:blipFill>
                  <pic:spPr>
                    <a:xfrm>
                      <a:off x="0" y="0"/>
                      <a:ext cx="6126480" cy="3147479"/>
                    </a:xfrm>
                    <a:prstGeom prst="rect"/>
                  </pic:spPr>
                </pic:pic>
              </a:graphicData>
            </a:graphic>
          </wp:inline>
        </w:drawing>
      </w:r>
    </w:p>
    <w:p>
      <w:pPr>
        <w:pStyle w:val="FigureCaption"/>
      </w:pPr>
      <w:r>
        <w:t>Figure 7. Final resource distribution and agent performance.</w:t>
      </w:r>
    </w:p>
    <w:p>
      <w:pPr>
        <w:jc w:val="center"/>
      </w:pPr>
      <w:r>
        <w:drawing>
          <wp:inline xmlns:a="http://schemas.openxmlformats.org/drawingml/2006/main" xmlns:pic="http://schemas.openxmlformats.org/drawingml/2006/picture">
            <wp:extent cx="6126480" cy="3155137"/>
            <wp:docPr id="7" name="Picture 7"/>
            <wp:cNvGraphicFramePr>
              <a:graphicFrameLocks noChangeAspect="1"/>
            </wp:cNvGraphicFramePr>
            <a:graphic>
              <a:graphicData uri="http://schemas.openxmlformats.org/drawingml/2006/picture">
                <pic:pic>
                  <pic:nvPicPr>
                    <pic:cNvPr id="0" name="90c3ce48-565f-49d9-b8db-86157adb8281.jpeg"/>
                    <pic:cNvPicPr/>
                  </pic:nvPicPr>
                  <pic:blipFill>
                    <a:blip r:embed="rId17"/>
                    <a:stretch>
                      <a:fillRect/>
                    </a:stretch>
                  </pic:blipFill>
                  <pic:spPr>
                    <a:xfrm>
                      <a:off x="0" y="0"/>
                      <a:ext cx="6126480" cy="3155137"/>
                    </a:xfrm>
                    <a:prstGeom prst="rect"/>
                  </pic:spPr>
                </pic:pic>
              </a:graphicData>
            </a:graphic>
          </wp:inline>
        </w:drawing>
      </w:r>
    </w:p>
    <w:p>
      <w:pPr>
        <w:pStyle w:val="FigureCaption"/>
      </w:pPr>
      <w:r>
        <w:t>Figure 8. Negotiation history and replay interface.</w:t>
      </w:r>
    </w:p>
    <w:p>
      <w:pPr>
        <w:pStyle w:val="Heading1"/>
      </w:pPr>
      <w:r>
        <w:t>22. Milestone-wise Contributions</w:t>
      </w:r>
    </w:p>
    <w:tbl>
      <w:tblPr>
        <w:tblStyle w:val="TableGrid"/>
        <w:tblW w:type="auto" w:w="0"/>
        <w:jc w:val="center"/>
        <w:tblLook w:firstColumn="1" w:firstRow="1" w:lastColumn="0" w:lastRow="0" w:noHBand="0" w:noVBand="1" w:val="04A0"/>
      </w:tblPr>
      <w:tblGrid>
        <w:gridCol w:w="4968"/>
        <w:gridCol w:w="4968"/>
      </w:tblGrid>
      <w:tr>
        <w:tc>
          <w:tcPr>
            <w:tcW w:type="dxa" w:w="3096"/>
            <w:vAlign w:val="center"/>
            <w:shd w:fill="D9EAF7"/>
          </w:tcPr>
          <w:p>
            <w:r/>
            <w:r>
              <w:rPr>
                <w:rFonts w:ascii="Times New Roman" w:hAnsi="Times New Roman"/>
                <w:b/>
                <w:sz w:val="20"/>
              </w:rPr>
              <w:t>Milestone</w:t>
            </w:r>
          </w:p>
        </w:tc>
        <w:tc>
          <w:tcPr>
            <w:tcW w:type="dxa" w:w="7560"/>
            <w:vAlign w:val="center"/>
            <w:shd w:fill="D9EAF7"/>
          </w:tcPr>
          <w:p>
            <w:r/>
            <w:r>
              <w:rPr>
                <w:rFonts w:ascii="Times New Roman" w:hAnsi="Times New Roman"/>
                <w:b/>
                <w:sz w:val="20"/>
              </w:rPr>
              <w:t>Contribution</w:t>
            </w:r>
          </w:p>
        </w:tc>
      </w:tr>
      <w:tr>
        <w:tc>
          <w:tcPr>
            <w:tcW w:type="dxa" w:w="3096"/>
            <w:vAlign w:val="center"/>
          </w:tcPr>
          <w:p>
            <w:r/>
            <w:r>
              <w:rPr>
                <w:rFonts w:ascii="Times New Roman" w:hAnsi="Times New Roman"/>
                <w:b w:val="0"/>
                <w:sz w:val="19"/>
              </w:rPr>
              <w:t>Milestone 1 – Core Simulation Foundation</w:t>
            </w:r>
          </w:p>
        </w:tc>
        <w:tc>
          <w:tcPr>
            <w:tcW w:type="dxa" w:w="7560"/>
            <w:vAlign w:val="center"/>
          </w:tcPr>
          <w:p>
            <w:r/>
            <w:r>
              <w:rPr>
                <w:rFonts w:ascii="Times New Roman" w:hAnsi="Times New Roman"/>
                <w:b w:val="0"/>
                <w:sz w:val="19"/>
              </w:rPr>
              <w:t>Established the initial multi-agent negotiation concept, scenario templates, stakeholder roles and configurable personalities. The foundation supported autonomous negotiation between role-specific agents.</w:t>
            </w:r>
          </w:p>
        </w:tc>
      </w:tr>
      <w:tr>
        <w:tc>
          <w:tcPr>
            <w:tcW w:type="dxa" w:w="3096"/>
            <w:vAlign w:val="center"/>
          </w:tcPr>
          <w:p>
            <w:r/>
            <w:r>
              <w:rPr>
                <w:rFonts w:ascii="Times New Roman" w:hAnsi="Times New Roman"/>
                <w:b w:val="0"/>
                <w:sz w:val="19"/>
              </w:rPr>
              <w:t>Milestone 2 – Disaster Relief Negotiation</w:t>
            </w:r>
          </w:p>
        </w:tc>
        <w:tc>
          <w:tcPr>
            <w:tcW w:type="dxa" w:w="7560"/>
            <w:vAlign w:val="center"/>
          </w:tcPr>
          <w:p>
            <w:r/>
            <w:r>
              <w:rPr>
                <w:rFonts w:ascii="Times New Roman" w:hAnsi="Times New Roman"/>
                <w:b w:val="0"/>
                <w:sz w:val="19"/>
              </w:rPr>
              <w:t>Extended the simulator into disaster-response resource allocation with Government, NGO and District Administration decision-makers, affected areas, constrained resources and disaster-specific scenarios.</w:t>
            </w:r>
          </w:p>
        </w:tc>
      </w:tr>
      <w:tr>
        <w:tc>
          <w:tcPr>
            <w:tcW w:type="dxa" w:w="3096"/>
            <w:vAlign w:val="center"/>
          </w:tcPr>
          <w:p>
            <w:r/>
            <w:r>
              <w:rPr>
                <w:rFonts w:ascii="Times New Roman" w:hAnsi="Times New Roman"/>
                <w:b w:val="0"/>
                <w:sz w:val="19"/>
              </w:rPr>
              <w:t>Milestone 3 – End-to-End Workflow and Practice Mode</w:t>
            </w:r>
          </w:p>
        </w:tc>
        <w:tc>
          <w:tcPr>
            <w:tcW w:type="dxa" w:w="7560"/>
            <w:vAlign w:val="center"/>
          </w:tcPr>
          <w:p>
            <w:r/>
            <w:r>
              <w:rPr>
                <w:rFonts w:ascii="Times New Roman" w:hAnsi="Times New Roman"/>
                <w:b w:val="0"/>
                <w:sz w:val="19"/>
              </w:rPr>
              <w:t>Integrated the Home → Scenario → Configure → Practice/AI Arena workflow, preserved scenario and agent configuration across pages, and introduced Human-in-the-Loop Practice Mode.</w:t>
            </w:r>
          </w:p>
        </w:tc>
      </w:tr>
      <w:tr>
        <w:tc>
          <w:tcPr>
            <w:tcW w:type="dxa" w:w="3096"/>
            <w:vAlign w:val="center"/>
          </w:tcPr>
          <w:p>
            <w:r/>
            <w:r>
              <w:rPr>
                <w:rFonts w:ascii="Times New Roman" w:hAnsi="Times New Roman"/>
                <w:b w:val="0"/>
                <w:sz w:val="19"/>
              </w:rPr>
              <w:t>Milestone 4 – Outcome, Analytics and History</w:t>
            </w:r>
          </w:p>
        </w:tc>
        <w:tc>
          <w:tcPr>
            <w:tcW w:type="dxa" w:w="7560"/>
            <w:vAlign w:val="center"/>
          </w:tcPr>
          <w:p>
            <w:r/>
            <w:r>
              <w:rPr>
                <w:rFonts w:ascii="Times New Roman" w:hAnsi="Times New Roman"/>
                <w:b w:val="0"/>
                <w:sz w:val="19"/>
              </w:rPr>
              <w:t>Implemented the Outcome screen, final allocation reporting, concession/performance analytics and the History/Replay experience. The system also integrates persistent session storage through MongoDB.</w:t>
            </w:r>
          </w:p>
        </w:tc>
      </w:tr>
    </w:tbl>
    <w:p/>
    <w:p>
      <w:pPr>
        <w:pStyle w:val="Heading1"/>
      </w:pPr>
      <w:r>
        <w:t>23. Limitations</w:t>
      </w:r>
    </w:p>
    <w:p>
      <w:pPr>
        <w:pStyle w:val="ListBullet"/>
      </w:pPr>
      <w:r>
        <w:t>The current frontend uses a local backend address in the supplied implementation; deployment should externalize the API base URL through environment configuration.</w:t>
      </w:r>
    </w:p>
    <w:p>
      <w:pPr>
        <w:pStyle w:val="ListBullet"/>
      </w:pPr>
      <w:r>
        <w:t>The repository contains security hardening items such as permissive CORS and diagnostic logging that should be corrected before production deployment.</w:t>
      </w:r>
    </w:p>
    <w:p>
      <w:pPr>
        <w:pStyle w:val="ListBullet"/>
      </w:pPr>
      <w:r>
        <w:t>History endpoints require authentication and authorization if the system is exposed beyond a trusted local environment.</w:t>
      </w:r>
    </w:p>
    <w:p>
      <w:pPr>
        <w:pStyle w:val="ListBullet"/>
      </w:pPr>
      <w:r>
        <w:t>Full automated test collection depends on installing the expected backend dependencies and using the intended backend working-directory/PYTHONPATH configuration.</w:t>
      </w:r>
    </w:p>
    <w:p>
      <w:pPr>
        <w:pStyle w:val="ListBullet"/>
      </w:pPr>
      <w:r>
        <w:t>The LLM-based behavior is dependent on external provider availability and model responses; deterministic validation and fallback behavior reduce, but do not eliminate, this dependency.</w:t>
      </w:r>
    </w:p>
    <w:p>
      <w:pPr>
        <w:pStyle w:val="ListBullet"/>
      </w:pPr>
      <w:r>
        <w:t>The project is a simulation/training platform and is not intended to replace authorized disaster-response decision makers.</w:t>
      </w:r>
    </w:p>
    <w:p>
      <w:pPr>
        <w:pStyle w:val="Heading1"/>
      </w:pPr>
      <w:r>
        <w:t>24. Future Enhancements</w:t>
      </w:r>
    </w:p>
    <w:p>
      <w:pPr>
        <w:pStyle w:val="ListBullet"/>
      </w:pPr>
      <w:r>
        <w:t>Add user authentication, authorization and per-user session isolation.</w:t>
      </w:r>
    </w:p>
    <w:p>
      <w:pPr>
        <w:pStyle w:val="ListBullet"/>
      </w:pPr>
      <w:r>
        <w:t>Externalize frontend and backend configuration through environment variables.</w:t>
      </w:r>
    </w:p>
    <w:p>
      <w:pPr>
        <w:pStyle w:val="ListBullet"/>
      </w:pPr>
      <w:r>
        <w:t>Add deterministic/mock LLM mode for repeatable CI and regression testing.</w:t>
      </w:r>
    </w:p>
    <w:p>
      <w:pPr>
        <w:pStyle w:val="ListBullet"/>
      </w:pPr>
      <w:r>
        <w:t>Expand automated integration tests across all scenarios, personalities, modes and persistence paths.</w:t>
      </w:r>
    </w:p>
    <w:p>
      <w:pPr>
        <w:pStyle w:val="ListBullet"/>
      </w:pPr>
      <w:r>
        <w:t>Improve model evaluation using repeatability, response validity, latency, token usage and negotiation-quality metrics.</w:t>
      </w:r>
    </w:p>
    <w:p>
      <w:pPr>
        <w:pStyle w:val="ListBullet"/>
      </w:pPr>
      <w:r>
        <w:t>Add more disaster scenarios and configurable stakeholder types.</w:t>
      </w:r>
    </w:p>
    <w:p>
      <w:pPr>
        <w:pStyle w:val="ListBullet"/>
      </w:pPr>
      <w:r>
        <w:t>Introduce richer replay controls such as round-by-round timeline navigation and side-by-side proposal comparison.</w:t>
      </w:r>
    </w:p>
    <w:p>
      <w:pPr>
        <w:pStyle w:val="ListBullet"/>
      </w:pPr>
      <w:r>
        <w:t>Add export options for complete negotiation reports and training summaries.</w:t>
      </w:r>
    </w:p>
    <w:p>
      <w:pPr>
        <w:pStyle w:val="ListBullet"/>
      </w:pPr>
      <w:r>
        <w:t>Modularize large orchestration and UI files for easier maintenance.</w:t>
      </w:r>
    </w:p>
    <w:p>
      <w:pPr>
        <w:pStyle w:val="ListBullet"/>
      </w:pPr>
      <w:r>
        <w:t>Add deployment automation and continuous integration for backend tests, frontend linting and frontend builds.</w:t>
      </w:r>
    </w:p>
    <w:p>
      <w:pPr>
        <w:pStyle w:val="Heading1"/>
      </w:pPr>
      <w:r>
        <w:t>25. SDG Alignment</w:t>
      </w:r>
    </w:p>
    <w:p>
      <w:r>
        <w:t>The project can be aligned with selected United Nations Sustainable Development Goals because it explores the use of digital and AI technologies for coordination, institutional collaboration and resilient communities.</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D9EAF7"/>
          </w:tcPr>
          <w:p>
            <w:r/>
            <w:r>
              <w:rPr>
                <w:rFonts w:ascii="Times New Roman" w:hAnsi="Times New Roman"/>
                <w:b/>
                <w:sz w:val="20"/>
              </w:rPr>
              <w:t>SDG</w:t>
            </w:r>
          </w:p>
        </w:tc>
        <w:tc>
          <w:tcPr>
            <w:tcW w:type="dxa" w:w="6768"/>
            <w:vAlign w:val="center"/>
            <w:shd w:fill="D9EAF7"/>
          </w:tcPr>
          <w:p>
            <w:r/>
            <w:r>
              <w:rPr>
                <w:rFonts w:ascii="Times New Roman" w:hAnsi="Times New Roman"/>
                <w:b/>
                <w:sz w:val="20"/>
              </w:rPr>
              <w:t>Alignment</w:t>
            </w:r>
          </w:p>
        </w:tc>
      </w:tr>
      <w:tr>
        <w:tc>
          <w:tcPr>
            <w:tcW w:type="dxa" w:w="3888"/>
            <w:vAlign w:val="center"/>
          </w:tcPr>
          <w:p>
            <w:r/>
            <w:r>
              <w:rPr>
                <w:rFonts w:ascii="Times New Roman" w:hAnsi="Times New Roman"/>
                <w:b w:val="0"/>
                <w:sz w:val="19"/>
              </w:rPr>
              <w:t>SDG 9 – Industry, Innovation and Infrastructure</w:t>
            </w:r>
          </w:p>
        </w:tc>
        <w:tc>
          <w:tcPr>
            <w:tcW w:type="dxa" w:w="6768"/>
            <w:vAlign w:val="center"/>
          </w:tcPr>
          <w:p>
            <w:r/>
            <w:r>
              <w:rPr>
                <w:rFonts w:ascii="Times New Roman" w:hAnsi="Times New Roman"/>
                <w:b w:val="0"/>
                <w:sz w:val="19"/>
              </w:rPr>
              <w:t>Demonstrates applied Generative AI, multi-agent systems, web engineering and data persistence in an integrated software platform.</w:t>
            </w:r>
          </w:p>
        </w:tc>
      </w:tr>
      <w:tr>
        <w:tc>
          <w:tcPr>
            <w:tcW w:type="dxa" w:w="3888"/>
            <w:vAlign w:val="center"/>
          </w:tcPr>
          <w:p>
            <w:r/>
            <w:r>
              <w:rPr>
                <w:rFonts w:ascii="Times New Roman" w:hAnsi="Times New Roman"/>
                <w:b w:val="0"/>
                <w:sz w:val="19"/>
              </w:rPr>
              <w:t>SDG 11 – Sustainable Cities and Communities</w:t>
            </w:r>
          </w:p>
        </w:tc>
        <w:tc>
          <w:tcPr>
            <w:tcW w:type="dxa" w:w="6768"/>
            <w:vAlign w:val="center"/>
          </w:tcPr>
          <w:p>
            <w:r/>
            <w:r>
              <w:rPr>
                <w:rFonts w:ascii="Times New Roman" w:hAnsi="Times New Roman"/>
                <w:b w:val="0"/>
                <w:sz w:val="19"/>
              </w:rPr>
              <w:t>Uses disaster-response scenarios to model coordination of limited emergency resources across affected areas.</w:t>
            </w:r>
          </w:p>
        </w:tc>
      </w:tr>
      <w:tr>
        <w:tc>
          <w:tcPr>
            <w:tcW w:type="dxa" w:w="3888"/>
            <w:vAlign w:val="center"/>
          </w:tcPr>
          <w:p>
            <w:r/>
            <w:r>
              <w:rPr>
                <w:rFonts w:ascii="Times New Roman" w:hAnsi="Times New Roman"/>
                <w:b w:val="0"/>
                <w:sz w:val="19"/>
              </w:rPr>
              <w:t>SDG 16 – Peace, Justice and Strong Institutions</w:t>
            </w:r>
          </w:p>
        </w:tc>
        <w:tc>
          <w:tcPr>
            <w:tcW w:type="dxa" w:w="6768"/>
            <w:vAlign w:val="center"/>
          </w:tcPr>
          <w:p>
            <w:r/>
            <w:r>
              <w:rPr>
                <w:rFonts w:ascii="Times New Roman" w:hAnsi="Times New Roman"/>
                <w:b w:val="0"/>
                <w:sz w:val="19"/>
              </w:rPr>
              <w:t>Supports transparent, reviewable stakeholder interaction and emphasizes human oversight rather than autonomous authority.</w:t>
            </w:r>
          </w:p>
        </w:tc>
      </w:tr>
    </w:tbl>
    <w:p/>
    <w:p>
      <w:pPr>
        <w:pStyle w:val="Heading1"/>
      </w:pPr>
      <w:r>
        <w:t>26. Conclusion</w:t>
      </w:r>
    </w:p>
    <w:p>
      <w:r>
        <w:t>The Creation of AI Driven Multi-Agent Negotiation Training &amp; Simulation Platform demonstrates how Generative AI can be combined with deterministic software engineering to create an interactive multi-agent negotiation environment. The platform models Government, NGO and District Administration stakeholders, supports configurable personalities and constrained resource allocation, and provides both autonomous AI-vs-AI and Human-vs-AI negotiation.</w:t>
      </w:r>
    </w:p>
    <w:p>
      <w:r>
        <w:t>A key architectural principle is the separation between LLM-generated behavior and authoritative system logic. Proposal validation, consensus, deadlock handling, persistence and outcome analysis remain controlled by the application rather than being delegated entirely to the language model. The resulting system provides a useful educational demonstration of multi-agent AI engineering, human-in-the-loop interaction, constrained decision making and post-negotiation analytics.</w:t>
      </w:r>
    </w:p>
    <w:p>
      <w:r>
        <w:t>The project can be strengthened further through security hardening, environment-based configuration, automated integration testing, modularization and production deployment practices. With these improvements, the platform can serve as a stronger foundation for future work in agentic AI, negotiation simulation and decision-support training.</w:t>
      </w:r>
    </w:p>
    <w:p>
      <w:pPr>
        <w:pStyle w:val="Heading1"/>
      </w:pPr>
      <w:r>
        <w:t>27. References</w:t>
      </w:r>
    </w:p>
    <w:p>
      <w:pPr>
        <w:pStyle w:val="ListNumber"/>
      </w:pPr>
      <w:r>
        <w:t>React Documentation. Meta Open Source. https://react.dev/</w:t>
      </w:r>
    </w:p>
    <w:p>
      <w:pPr>
        <w:pStyle w:val="ListNumber"/>
      </w:pPr>
      <w:r>
        <w:t>Vite Documentation. https://vite.dev/</w:t>
      </w:r>
    </w:p>
    <w:p>
      <w:pPr>
        <w:pStyle w:val="ListNumber"/>
      </w:pPr>
      <w:r>
        <w:t>FastAPI Documentation. https://fastapi.tiangolo.com/</w:t>
      </w:r>
    </w:p>
    <w:p>
      <w:pPr>
        <w:pStyle w:val="ListNumber"/>
      </w:pPr>
      <w:r>
        <w:t>Pydantic Documentation. https://docs.pydantic.dev/</w:t>
      </w:r>
    </w:p>
    <w:p>
      <w:pPr>
        <w:pStyle w:val="ListNumber"/>
      </w:pPr>
      <w:r>
        <w:t>Uvicorn Documentation. https://www.uvicorn.org/</w:t>
      </w:r>
    </w:p>
    <w:p>
      <w:pPr>
        <w:pStyle w:val="ListNumber"/>
      </w:pPr>
      <w:r>
        <w:t>MongoDB Documentation. https://www.mongodb.com/docs/</w:t>
      </w:r>
    </w:p>
    <w:p>
      <w:pPr>
        <w:pStyle w:val="ListNumber"/>
      </w:pPr>
      <w:r>
        <w:t>Motor Documentation. https://motor.readthedocs.io/</w:t>
      </w:r>
    </w:p>
    <w:p>
      <w:pPr>
        <w:pStyle w:val="ListNumber"/>
      </w:pPr>
      <w:r>
        <w:t>Tailwind CSS Documentation. https://tailwindcss.com/docs</w:t>
      </w:r>
    </w:p>
    <w:p>
      <w:pPr>
        <w:pStyle w:val="ListNumber"/>
      </w:pPr>
      <w:r>
        <w:t>MDN Web Docs – Server-Sent Events. https://developer.mozilla.org/en-US/docs/Web/API/Server-sent_events</w:t>
      </w:r>
    </w:p>
    <w:p>
      <w:pPr>
        <w:pStyle w:val="ListNumber"/>
      </w:pPr>
      <w:r>
        <w:t>Groq Documentation. https://console.groq.com/docs</w:t>
      </w:r>
    </w:p>
    <w:p>
      <w:pPr>
        <w:pStyle w:val="ListNumber"/>
      </w:pPr>
      <w:r>
        <w:t>Google Gemini API Documentation. https://ai.google.dev/gemini-api/docs</w:t>
      </w:r>
    </w:p>
    <w:p>
      <w:pPr>
        <w:pStyle w:val="ListNumber"/>
      </w:pPr>
      <w:r>
        <w:t>Pytest Documentation. https://docs.pytest.org/</w:t>
      </w:r>
    </w:p>
    <w:p>
      <w:pPr>
        <w:pStyle w:val="ListNumber"/>
      </w:pPr>
      <w:r>
        <w:t>United Nations Sustainable Development Goals. https://sdgs.un.org/goals</w:t>
      </w:r>
    </w:p>
    <w:p>
      <w:pPr>
        <w:pStyle w:val="ListNumber"/>
      </w:pPr>
      <w:r>
        <w:t>Project source repository and supplied technical report documentation, used as the primary implementation reference.</w:t>
      </w:r>
    </w:p>
    <w:p>
      <w:pPr>
        <w:pStyle w:val="Heading1"/>
      </w:pPr>
      <w:r>
        <w:t>Appendix A – Security and Responsible AI Considerations</w:t>
      </w:r>
    </w:p>
    <w:p>
      <w:pPr>
        <w:pStyle w:val="ListBullet"/>
      </w:pPr>
      <w:r>
        <w:t>Keep Groq, Gemini and MongoDB credentials exclusively in server-side environment variables.</w:t>
      </w:r>
    </w:p>
    <w:p>
      <w:pPr>
        <w:pStyle w:val="ListBullet"/>
      </w:pPr>
      <w:r>
        <w:t>Never log API key values or complete secret-bearing configuration objects.</w:t>
      </w:r>
    </w:p>
    <w:p>
      <w:pPr>
        <w:pStyle w:val="ListBullet"/>
      </w:pPr>
      <w:r>
        <w:t>Restrict CORS to trusted frontend origins in deployed environments.</w:t>
      </w:r>
    </w:p>
    <w:p>
      <w:pPr>
        <w:pStyle w:val="ListBullet"/>
      </w:pPr>
      <w:r>
        <w:t>Protect history endpoints with authentication and per-user/session authorization.</w:t>
      </w:r>
    </w:p>
    <w:p>
      <w:pPr>
        <w:pStyle w:val="ListBullet"/>
      </w:pPr>
      <w:r>
        <w:t>Validate every model-generated proposal before it changes negotiation state.</w:t>
      </w:r>
    </w:p>
    <w:p>
      <w:pPr>
        <w:pStyle w:val="ListBullet"/>
      </w:pPr>
      <w:r>
        <w:t>Keep a clear distinction between model-generated reasoning and authoritative system decisions.</w:t>
      </w:r>
    </w:p>
    <w:p>
      <w:pPr>
        <w:pStyle w:val="ListBullet"/>
      </w:pPr>
      <w:r>
        <w:t>Preserve explicit validation, consensus and deadlock checks rather than allowing an LLM to terminate a negotiation directly.</w:t>
      </w:r>
    </w:p>
    <w:p>
      <w:pPr>
        <w:pStyle w:val="ListBullet"/>
      </w:pPr>
      <w:r>
        <w:t>For real disaster-response use, position the platform as a decision-support and education system rather than an autonomous authority.</w:t>
      </w:r>
    </w:p>
    <w:p>
      <w:pPr>
        <w:pStyle w:val="Heading1"/>
      </w:pPr>
      <w:r>
        <w:t>Appendix B – Key Implementation Components</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fill="D9EAF7"/>
          </w:tcPr>
          <w:p>
            <w:r/>
            <w:r>
              <w:rPr>
                <w:rFonts w:ascii="Times New Roman" w:hAnsi="Times New Roman"/>
                <w:b/>
                <w:sz w:val="20"/>
              </w:rPr>
              <w:t>Component</w:t>
            </w:r>
          </w:p>
        </w:tc>
        <w:tc>
          <w:tcPr>
            <w:tcW w:type="dxa" w:w="6336"/>
            <w:vAlign w:val="center"/>
            <w:shd w:fill="D9EAF7"/>
          </w:tcPr>
          <w:p>
            <w:r/>
            <w:r>
              <w:rPr>
                <w:rFonts w:ascii="Times New Roman" w:hAnsi="Times New Roman"/>
                <w:b/>
                <w:sz w:val="20"/>
              </w:rPr>
              <w:t>Role</w:t>
            </w:r>
          </w:p>
        </w:tc>
      </w:tr>
      <w:tr>
        <w:tc>
          <w:tcPr>
            <w:tcW w:type="dxa" w:w="4320"/>
            <w:vAlign w:val="center"/>
          </w:tcPr>
          <w:p>
            <w:r/>
            <w:r>
              <w:rPr>
                <w:rFonts w:ascii="Times New Roman" w:hAnsi="Times New Roman"/>
                <w:b w:val="0"/>
                <w:sz w:val="19"/>
              </w:rPr>
              <w:t>backend/main.py</w:t>
            </w:r>
          </w:p>
        </w:tc>
        <w:tc>
          <w:tcPr>
            <w:tcW w:type="dxa" w:w="6336"/>
            <w:vAlign w:val="center"/>
          </w:tcPr>
          <w:p>
            <w:r/>
            <w:r>
              <w:rPr>
                <w:rFonts w:ascii="Times New Roman" w:hAnsi="Times New Roman"/>
                <w:b w:val="0"/>
                <w:sz w:val="19"/>
              </w:rPr>
              <w:t>FastAPI application, CORS, lifecycle, request models and primary negotiation/practice endpoints.</w:t>
            </w:r>
          </w:p>
        </w:tc>
      </w:tr>
      <w:tr>
        <w:tc>
          <w:tcPr>
            <w:tcW w:type="dxa" w:w="4320"/>
            <w:vAlign w:val="center"/>
          </w:tcPr>
          <w:p>
            <w:r/>
            <w:r>
              <w:rPr>
                <w:rFonts w:ascii="Times New Roman" w:hAnsi="Times New Roman"/>
                <w:b w:val="0"/>
                <w:sz w:val="19"/>
              </w:rPr>
              <w:t>backend/services/negotiation_orchestrator.py</w:t>
            </w:r>
          </w:p>
        </w:tc>
        <w:tc>
          <w:tcPr>
            <w:tcW w:type="dxa" w:w="6336"/>
            <w:vAlign w:val="center"/>
          </w:tcPr>
          <w:p>
            <w:r/>
            <w:r>
              <w:rPr>
                <w:rFonts w:ascii="Times New Roman" w:hAnsi="Times New Roman"/>
                <w:b w:val="0"/>
                <w:sz w:val="19"/>
              </w:rPr>
              <w:t>Central state machine, participant turns, human participation, consensus/deadlock and persistence triggers.</w:t>
            </w:r>
          </w:p>
        </w:tc>
      </w:tr>
      <w:tr>
        <w:tc>
          <w:tcPr>
            <w:tcW w:type="dxa" w:w="4320"/>
            <w:vAlign w:val="center"/>
          </w:tcPr>
          <w:p>
            <w:r/>
            <w:r>
              <w:rPr>
                <w:rFonts w:ascii="Times New Roman" w:hAnsi="Times New Roman"/>
                <w:b w:val="0"/>
                <w:sz w:val="19"/>
              </w:rPr>
              <w:t>backend/services/gemini_service.py</w:t>
            </w:r>
          </w:p>
        </w:tc>
        <w:tc>
          <w:tcPr>
            <w:tcW w:type="dxa" w:w="6336"/>
            <w:vAlign w:val="center"/>
          </w:tcPr>
          <w:p>
            <w:r/>
            <w:r>
              <w:rPr>
                <w:rFonts w:ascii="Times New Roman" w:hAnsi="Times New Roman"/>
                <w:b w:val="0"/>
                <w:sz w:val="19"/>
              </w:rPr>
              <w:t>LLM provider layer, Groq/Gemini calls, validation/fallback behavior and metrics.</w:t>
            </w:r>
          </w:p>
        </w:tc>
      </w:tr>
      <w:tr>
        <w:tc>
          <w:tcPr>
            <w:tcW w:type="dxa" w:w="4320"/>
            <w:vAlign w:val="center"/>
          </w:tcPr>
          <w:p>
            <w:r/>
            <w:r>
              <w:rPr>
                <w:rFonts w:ascii="Times New Roman" w:hAnsi="Times New Roman"/>
                <w:b w:val="0"/>
                <w:sz w:val="19"/>
              </w:rPr>
              <w:t>backend/services/evaluation_engine.py</w:t>
            </w:r>
          </w:p>
        </w:tc>
        <w:tc>
          <w:tcPr>
            <w:tcW w:type="dxa" w:w="6336"/>
            <w:vAlign w:val="center"/>
          </w:tcPr>
          <w:p>
            <w:r/>
            <w:r>
              <w:rPr>
                <w:rFonts w:ascii="Times New Roman" w:hAnsi="Times New Roman"/>
                <w:b w:val="0"/>
                <w:sz w:val="19"/>
              </w:rPr>
              <w:t>Consensus, deadlock, proposal deltas, concessions, agent performance and outcome analysis.</w:t>
            </w:r>
          </w:p>
        </w:tc>
      </w:tr>
      <w:tr>
        <w:tc>
          <w:tcPr>
            <w:tcW w:type="dxa" w:w="4320"/>
            <w:vAlign w:val="center"/>
          </w:tcPr>
          <w:p>
            <w:r/>
            <w:r>
              <w:rPr>
                <w:rFonts w:ascii="Times New Roman" w:hAnsi="Times New Roman"/>
                <w:b w:val="0"/>
                <w:sz w:val="19"/>
              </w:rPr>
              <w:t>backend/prompts/prompt_builder.py</w:t>
            </w:r>
          </w:p>
        </w:tc>
        <w:tc>
          <w:tcPr>
            <w:tcW w:type="dxa" w:w="6336"/>
            <w:vAlign w:val="center"/>
          </w:tcPr>
          <w:p>
            <w:r/>
            <w:r>
              <w:rPr>
                <w:rFonts w:ascii="Times New Roman" w:hAnsi="Times New Roman"/>
                <w:b w:val="0"/>
                <w:sz w:val="19"/>
              </w:rPr>
              <w:t>Structured prompts using persona, personality, resource constraints, history and negotiation rules.</w:t>
            </w:r>
          </w:p>
        </w:tc>
      </w:tr>
      <w:tr>
        <w:tc>
          <w:tcPr>
            <w:tcW w:type="dxa" w:w="4320"/>
            <w:vAlign w:val="center"/>
          </w:tcPr>
          <w:p>
            <w:r/>
            <w:r>
              <w:rPr>
                <w:rFonts w:ascii="Times New Roman" w:hAnsi="Times New Roman"/>
                <w:b w:val="0"/>
                <w:sz w:val="19"/>
              </w:rPr>
              <w:t>backend/services/database.py</w:t>
            </w:r>
          </w:p>
        </w:tc>
        <w:tc>
          <w:tcPr>
            <w:tcW w:type="dxa" w:w="6336"/>
            <w:vAlign w:val="center"/>
          </w:tcPr>
          <w:p>
            <w:r/>
            <w:r>
              <w:rPr>
                <w:rFonts w:ascii="Times New Roman" w:hAnsi="Times New Roman"/>
                <w:b w:val="0"/>
                <w:sz w:val="19"/>
              </w:rPr>
              <w:t>MongoDB connection, index creation and collection access.</w:t>
            </w:r>
          </w:p>
        </w:tc>
      </w:tr>
      <w:tr>
        <w:tc>
          <w:tcPr>
            <w:tcW w:type="dxa" w:w="4320"/>
            <w:vAlign w:val="center"/>
          </w:tcPr>
          <w:p>
            <w:r/>
            <w:r>
              <w:rPr>
                <w:rFonts w:ascii="Times New Roman" w:hAnsi="Times New Roman"/>
                <w:b w:val="0"/>
                <w:sz w:val="19"/>
              </w:rPr>
              <w:t>backend/routes/history.py</w:t>
            </w:r>
          </w:p>
        </w:tc>
        <w:tc>
          <w:tcPr>
            <w:tcW w:type="dxa" w:w="6336"/>
            <w:vAlign w:val="center"/>
          </w:tcPr>
          <w:p>
            <w:r/>
            <w:r>
              <w:rPr>
                <w:rFonts w:ascii="Times New Roman" w:hAnsi="Times New Roman"/>
                <w:b w:val="0"/>
                <w:sz w:val="19"/>
              </w:rPr>
              <w:t>Persistent negotiation-history listing, retrieval and deletion endpoints.</w:t>
            </w:r>
          </w:p>
        </w:tc>
      </w:tr>
    </w:tbl>
    <w:p/>
    <w:sectPr w:rsidR="00FC693F" w:rsidRPr="0006063C" w:rsidSect="00034616">
      <w:headerReference w:type="default" r:id="rId9"/>
      <w:footerReference w:type="default" r:id="rId10"/>
      <w:pgSz w:w="12240" w:h="15840"/>
      <w:pgMar w:top="1080" w:right="1080" w:bottom="1008" w:left="1224" w:header="720" w:footer="720" w:gutter="0"/>
      <w:cols w:space="720"/>
      <w:docGrid w:linePitch="360"/>
    </w:sectPr>
    <w:sdt>
      <w:sdtPr>
        <w:docPartObj>
          <w:docPartGallery w:val="Table of Contents"/>
        </w:docPartObj>
      </w:sdtPr>
      <w:sdtContent>
        <w:p>
          <w:r>
            <w:fldChar w:fldCharType="begin"/>
            <w:instrText xml:space="preserve">TOC \o "1-3" \h \z \u</w:instrText>
            <w:fldChar w:fldCharType="separate"/>
            <w:t>Update field to generate table of contents.</w:t>
            <w:fldChar w:fldCharType="end"/>
          </w:r>
        </w:p>
      </w:sdtContent>
    </w:sdt>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Infosys Springboard Virtual Internship 7.0 | Batch-2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6"/>
      </w:rPr>
      <w:t>Creation of AI Driven Multi-Agent Negotiation Training &amp; Simulation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3737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00"/>
      <w:jc w:val="center"/>
    </w:pPr>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