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360"/>
              <w:left w:type="dxa" w:w="400"/>
              <w:bottom w:type="dxa" w:w="320"/>
              <w:right w:type="dxa" w:w="400"/>
            </w:tcMar>
          </w:tcPr>
          <w:p>
            <w:pPr>
              <w:spacing w:before="0" w:after="80"/>
            </w:pPr>
            <w:r>
              <w:rPr>
                <w:rFonts w:ascii="Arial" w:cs="Arial" w:eastAsia="Arial" w:hAnsi="Arial"/>
                <w:b/>
                <w:bCs/>
                <w:caps/>
                <w:color w:val="D5E8F0"/>
                <w:sz w:val="20"/>
                <w:szCs w:val="20"/>
              </w:rPr>
              <w:t xml:space="preserve">INVITATION TO PARTICIPATE</w:t>
            </w:r>
          </w:p>
          <w:p>
            <w:pPr>
              <w:spacing w:before="0" w:after="120"/>
            </w:pPr>
            <w:r>
              <w:rPr>
                <w:rFonts w:ascii="Arial" w:cs="Arial" w:eastAsia="Arial" w:hAnsi="Arial"/>
                <w:b/>
                <w:bCs/>
                <w:color w:val="FFFFFF"/>
                <w:sz w:val="40"/>
                <w:szCs w:val="40"/>
              </w:rPr>
              <w:t xml:space="preserve">Meaningful AI Integration in Higher Education</w:t>
            </w:r>
          </w:p>
          <w:p>
            <w:pPr>
              <w:spacing w:before="0" w:after="80"/>
            </w:pPr>
            <w:r>
              <w:rPr>
                <w:rFonts w:ascii="Arial" w:cs="Arial" w:eastAsia="Arial" w:hAnsi="Arial"/>
                <w:i/>
                <w:iCs/>
                <w:color w:val="D5E8F0"/>
                <w:sz w:val="24"/>
                <w:szCs w:val="24"/>
              </w:rPr>
              <w:t xml:space="preserve">A Practitioner Validation Study for Teachers in Higher Education</w:t>
            </w:r>
          </w:p>
          <w:p>
            <w:pPr>
              <w:spacing w:before="40" w:after="0"/>
            </w:pPr>
            <w:r>
              <w:rPr>
                <w:rFonts w:ascii="Arial" w:cs="Arial" w:eastAsia="Arial" w:hAnsi="Arial"/>
                <w:color w:val="D5E8F0"/>
                <w:sz w:val="20"/>
                <w:szCs w:val="20"/>
              </w:rPr>
              <w:t xml:space="preserve">Mary-Jo Diepeveen  |  PhD Candidate, Vrije Universiteit Amsterdam  |  March 2026</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6"/>
              <w:bottom w:val="none" w:color="FFFFFF" w:sz="0"/>
              <w:right w:val="none" w:color="FFFFFF" w:sz="0"/>
            </w:tcBorders>
            <w:shd w:fill="EBF4FB" w:val="clear"/>
            <w:tcMar>
              <w:top w:type="dxa" w:w="160"/>
              <w:left w:type="dxa" w:w="240"/>
              <w:bottom w:type="dxa" w:w="160"/>
              <w:right w:type="dxa" w:w="240"/>
            </w:tcMar>
          </w:tcPr>
          <w:p>
            <w:pPr>
              <w:spacing w:before="0" w:after="60"/>
            </w:pPr>
            <w:r>
              <w:rPr>
                <w:rFonts w:ascii="Arial" w:cs="Arial" w:eastAsia="Arial" w:hAnsi="Arial"/>
                <w:i/>
                <w:iCs/>
                <w:color w:val="404040"/>
                <w:sz w:val="22"/>
                <w:szCs w:val="22"/>
              </w:rPr>
              <w:t xml:space="preserve">You are invited to take part in a research study exploring how design principles for meaningful AI integration can be validated and refined through the eyes of practising teachers. Your perspective is essential: as someone working with students and AI tools in a higher education context, you are exactly the kind of expert this study needs to hear from.</w:t>
            </w:r>
          </w:p>
          <w:p>
            <w:pPr>
              <w:spacing w:before="0" w:after="0"/>
            </w:pPr>
            <w:r>
              <w:rPr>
                <w:rFonts w:ascii="Arial" w:cs="Arial" w:eastAsia="Arial" w:hAnsi="Arial"/>
                <w:b/>
                <w:bCs/>
                <w:color w:val="1A1A1A"/>
                <w:sz w:val="22"/>
                <w:szCs w:val="22"/>
              </w:rPr>
              <w:t xml:space="preserve">Participation takes approximately 30 to 45 minutes in total and can be completed at your own pace.</w:t>
            </w:r>
          </w:p>
        </w:tc>
      </w:tr>
    </w:tbl>
    <w:p>
      <w:pPr>
        <w:spacing w:before="0" w:after="60"/>
      </w:pPr>
      <w:r>
        <w:t xml:space="preserve"/>
      </w:r>
    </w:p>
    <w:p>
      <w:pPr>
        <w:pStyle w:val="Heading1"/>
        <w:spacing w:before="360" w:after="120"/>
      </w:pPr>
      <w:r>
        <w:rPr>
          <w:rFonts w:ascii="Arial" w:cs="Arial" w:eastAsia="Arial" w:hAnsi="Arial"/>
          <w:b/>
          <w:bCs/>
          <w:color w:val="1F4E79"/>
          <w:sz w:val="32"/>
          <w:szCs w:val="32"/>
        </w:rPr>
        <w:t xml:space="preserve">1. About This Research</w:t>
      </w:r>
    </w:p>
    <w:p>
      <w:pPr>
        <w:spacing w:before="60" w:after="120"/>
      </w:pPr>
      <w:r>
        <w:rPr>
          <w:rFonts w:ascii="Arial" w:cs="Arial" w:eastAsia="Arial" w:hAnsi="Arial"/>
          <w:color w:val="404040"/>
          <w:sz w:val="22"/>
          <w:szCs w:val="22"/>
        </w:rPr>
        <w:t xml:space="preserve">This study is part of a PhD project at the Vrije Universiteit Amsterdam on meaningful AI integration in higher education. Using an iterative research approach, the project has developed six course-level design principles that help teachers integrate generative AI (such as Microsoft Copilot or ChatGPT) in ways that preserve learning quality, support academic integrity, and prepare students to use AI responsibly.</w:t>
      </w:r>
    </w:p>
    <w:p>
      <w:pPr>
        <w:spacing w:before="60" w:after="120"/>
      </w:pPr>
      <w:r>
        <w:rPr>
          <w:rFonts w:ascii="Arial" w:cs="Arial" w:eastAsia="Arial" w:hAnsi="Arial"/>
          <w:color w:val="404040"/>
          <w:sz w:val="22"/>
          <w:szCs w:val="22"/>
        </w:rPr>
        <w:t xml:space="preserve">The principles have been developed iteratively through two cycles in an Introduction to Programming course and are currently being tested in a Management of Organisations course. To complete the research, we now need to hear from teachers like you: Do these principles resonate with how you think about teaching? Are some already part of what you do? And how useful would they actually be in your own course?</w:t>
      </w:r>
    </w:p>
    <w:p>
      <w:pPr>
        <w:spacing w:before="60" w:after="120"/>
      </w:pPr>
      <w:r>
        <w:rPr>
          <w:rFonts w:ascii="Arial" w:cs="Arial" w:eastAsia="Arial" w:hAnsi="Arial"/>
          <w:color w:val="404040"/>
          <w:sz w:val="22"/>
          <w:szCs w:val="22"/>
        </w:rPr>
        <w:t xml:space="preserve">This practitioner validation phase directly addresses the following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FBFBF" w:sz="16"/>
              <w:bottom w:val="none" w:color="FFFFFF" w:sz="0"/>
              <w:right w:val="none" w:color="FFFFFF" w:sz="0"/>
            </w:tcBorders>
            <w:shd w:fill="F2F2F2" w:val="clear"/>
            <w:tcMar>
              <w:top w:type="dxa" w:w="120"/>
              <w:left w:type="dxa" w:w="240"/>
              <w:bottom w:type="dxa" w:w="120"/>
              <w:right w:type="dxa" w:w="240"/>
            </w:tcMar>
          </w:tcPr>
          <w:p>
            <w:pPr>
              <w:spacing w:before="0" w:after="0"/>
            </w:pPr>
            <w:r>
              <w:rPr>
                <w:rFonts w:ascii="Arial" w:cs="Arial" w:eastAsia="Arial" w:hAnsi="Arial"/>
                <w:i/>
                <w:iCs/>
                <w:color w:val="404040"/>
                <w:sz w:val="22"/>
                <w:szCs w:val="22"/>
              </w:rPr>
              <w:t xml:space="preserve">How do educators experience the practicality of the instructional guidance, and which design principles do they find relevant and useful for their own teaching context?</w:t>
            </w:r>
          </w:p>
        </w:tc>
      </w:tr>
    </w:tbl>
    <w:p>
      <w:pPr>
        <w:spacing w:before="0" w:after="60"/>
      </w:pPr>
      <w:r>
        <w:t xml:space="preserve"/>
      </w:r>
    </w:p>
    <w:p>
      <w:pPr>
        <w:pStyle w:val="Heading1"/>
        <w:spacing w:before="360" w:after="120"/>
      </w:pPr>
      <w:r>
        <w:rPr>
          <w:rFonts w:ascii="Arial" w:cs="Arial" w:eastAsia="Arial" w:hAnsi="Arial"/>
          <w:b/>
          <w:bCs/>
          <w:color w:val="1F4E79"/>
          <w:sz w:val="32"/>
          <w:szCs w:val="32"/>
        </w:rPr>
        <w:t xml:space="preserve">2. The Six Design Principles</w:t>
      </w:r>
    </w:p>
    <w:p>
      <w:pPr>
        <w:spacing w:before="60" w:after="120"/>
      </w:pPr>
      <w:r>
        <w:rPr>
          <w:rFonts w:ascii="Arial" w:cs="Arial" w:eastAsia="Arial" w:hAnsi="Arial"/>
          <w:color w:val="404040"/>
          <w:sz w:val="22"/>
          <w:szCs w:val="22"/>
        </w:rPr>
        <w:t xml:space="preserve">The table below gives an overview of the six design principles you will be asked to reflect on. Each principle addresses a different aspect of how teachers can meaningfully integrate AI into their courses. You will explore each of these in more depth through the e-learning modules in Step 2.</w:t>
      </w:r>
    </w:p>
    <w:p>
      <w:pPr>
        <w:spacing w:before="60" w:after="120"/>
      </w:pPr>
      <w:r>
        <w:rPr>
          <w:rFonts w:ascii="Arial" w:cs="Arial" w:eastAsia="Arial" w:hAnsi="Arial"/>
          <w:color w:val="404040"/>
          <w:sz w:val="22"/>
          <w:szCs w:val="22"/>
        </w:rPr>
        <w:t xml:space="preserve">Each principle has a plain-language name (in bold) and a more formal research title (in italics beneath it). In all the materials and questions, we use the plain-language names.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60"/>
        <w:gridCol w:w="5900"/>
      </w:tblGrid>
      <w:tr>
        <w:tc>
          <w:tcPr>
            <w:tcW w:type="dxa" w:w="7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2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20"/>
            </w:tcMar>
          </w:tcPr>
          <w:p>
            <w:r>
              <w:rPr>
                <w:rFonts w:ascii="Arial" w:cs="Arial" w:eastAsia="Arial" w:hAnsi="Arial"/>
                <w:b/>
                <w:bCs/>
                <w:color w:val="FFFFFF"/>
                <w:sz w:val="22"/>
                <w:szCs w:val="22"/>
              </w:rPr>
              <w:t xml:space="preserve">Design Principle</w:t>
            </w:r>
          </w:p>
        </w:tc>
        <w:tc>
          <w:tcPr>
            <w:tcW w:type="dxa" w:w="5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20"/>
            </w:tcMar>
          </w:tcPr>
          <w:p>
            <w:r>
              <w:rPr>
                <w:rFonts w:ascii="Arial" w:cs="Arial" w:eastAsia="Arial" w:hAnsi="Arial"/>
                <w:b/>
                <w:bCs/>
                <w:color w:val="FFFFFF"/>
                <w:sz w:val="22"/>
                <w:szCs w:val="22"/>
              </w:rPr>
              <w:t xml:space="preserve">Core Idea</w:t>
            </w:r>
          </w:p>
        </w:tc>
      </w:tr>
      <w:tr>
        <w:tc>
          <w:tcPr>
            <w:tcW w:type="dxa" w:w="7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DP1</w:t>
            </w:r>
          </w:p>
        </w:tc>
        <w:tc>
          <w:tcPr>
            <w:tcW w:type="dxa" w:w="27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20"/>
            </w:tcMar>
          </w:tcPr>
          <w:p>
            <w:pPr>
              <w:spacing w:before="0" w:after="40"/>
            </w:pPr>
            <w:r>
              <w:rPr>
                <w:rFonts w:ascii="Arial" w:cs="Arial" w:eastAsia="Arial" w:hAnsi="Arial"/>
                <w:b/>
                <w:bCs/>
                <w:color w:val="1F4E79"/>
                <w:sz w:val="22"/>
                <w:szCs w:val="22"/>
              </w:rPr>
              <w:t xml:space="preserve">Build a Shared Starting Point</w:t>
            </w:r>
          </w:p>
          <w:p>
            <w:pPr>
              <w:spacing w:before="0" w:after="0"/>
            </w:pPr>
            <w:r>
              <w:rPr>
                <w:rFonts w:ascii="Arial" w:cs="Arial" w:eastAsia="Arial" w:hAnsi="Arial"/>
                <w:i/>
                <w:iCs/>
                <w:color w:val="2E75B6"/>
                <w:sz w:val="18"/>
                <w:szCs w:val="18"/>
              </w:rPr>
              <w:t xml:space="preserve">Inclusive Design and Shared AI Baseline</w:t>
            </w:r>
          </w:p>
        </w:tc>
        <w:tc>
          <w:tcPr>
            <w:tcW w:type="dxa" w:w="59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20"/>
            </w:tcMar>
          </w:tcPr>
          <w:p>
            <w:r>
              <w:rPr>
                <w:rFonts w:ascii="Arial" w:cs="Arial" w:eastAsia="Arial" w:hAnsi="Arial"/>
                <w:color w:val="404040"/>
                <w:sz w:val="20"/>
                <w:szCs w:val="20"/>
              </w:rPr>
              <w:t xml:space="preserve">AI integration must account for the fact that students arrive with very different levels of experience. Courses should avoid assuming AI fluency, ensure access via free or institutional tools (no paid tiers required), and build a shared knowledge baseline for everyone — including the teacher.</w:t>
            </w:r>
          </w:p>
        </w:tc>
      </w:tr>
      <w:tr>
        <w:tc>
          <w:tcPr>
            <w:tcW w:type="dxa" w:w="700"/>
            <w:tcBorders>
              <w:top w:val="single" w:color="BFBFBF" w:sz="1"/>
              <w:left w:val="single" w:color="BFBFBF" w:sz="1"/>
              <w:bottom w:val="single" w:color="BFBFBF" w:sz="1"/>
              <w:right w:val="single" w:color="BFBFBF"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DP2</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20"/>
            </w:tcMar>
          </w:tcPr>
          <w:p>
            <w:pPr>
              <w:spacing w:before="0" w:after="40"/>
            </w:pPr>
            <w:r>
              <w:rPr>
                <w:rFonts w:ascii="Arial" w:cs="Arial" w:eastAsia="Arial" w:hAnsi="Arial"/>
                <w:b/>
                <w:bCs/>
                <w:color w:val="1F4E79"/>
                <w:sz w:val="22"/>
                <w:szCs w:val="22"/>
              </w:rPr>
              <w:t xml:space="preserve">Teach Prompting as a Thinking Skill</w:t>
            </w:r>
          </w:p>
          <w:p>
            <w:pPr>
              <w:spacing w:before="0" w:after="0"/>
            </w:pPr>
            <w:r>
              <w:rPr>
                <w:rFonts w:ascii="Arial" w:cs="Arial" w:eastAsia="Arial" w:hAnsi="Arial"/>
                <w:i/>
                <w:iCs/>
                <w:color w:val="2E75B6"/>
                <w:sz w:val="18"/>
                <w:szCs w:val="18"/>
              </w:rPr>
              <w:t xml:space="preserve">Prompting as Epistemic Practice</w:t>
            </w:r>
          </w:p>
        </w:tc>
        <w:tc>
          <w:tcPr>
            <w:tcW w:type="dxa" w:w="5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20"/>
            </w:tcMar>
          </w:tcPr>
          <w:p>
            <w:r>
              <w:rPr>
                <w:rFonts w:ascii="Arial" w:cs="Arial" w:eastAsia="Arial" w:hAnsi="Arial"/>
                <w:color w:val="404040"/>
                <w:sz w:val="20"/>
                <w:szCs w:val="20"/>
              </w:rPr>
              <w:t xml:space="preserve">Prompting AI effectively is not about using the right template. It is an iterative, domain-specific skill tied to how well students can frame a problem, evaluate a response, and refine their questions. Treat it as a core intellectual skill, not just a tool trick.</w:t>
            </w:r>
          </w:p>
        </w:tc>
      </w:tr>
      <w:tr>
        <w:tc>
          <w:tcPr>
            <w:tcW w:type="dxa" w:w="7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DP3</w:t>
            </w:r>
          </w:p>
        </w:tc>
        <w:tc>
          <w:tcPr>
            <w:tcW w:type="dxa" w:w="27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20"/>
            </w:tcMar>
          </w:tcPr>
          <w:p>
            <w:pPr>
              <w:spacing w:before="0" w:after="40"/>
            </w:pPr>
            <w:r>
              <w:rPr>
                <w:rFonts w:ascii="Arial" w:cs="Arial" w:eastAsia="Arial" w:hAnsi="Arial"/>
                <w:b/>
                <w:bCs/>
                <w:color w:val="1F4E79"/>
                <w:sz w:val="22"/>
                <w:szCs w:val="22"/>
              </w:rPr>
              <w:t xml:space="preserve">Think First, Use AI Second</w:t>
            </w:r>
          </w:p>
          <w:p>
            <w:pPr>
              <w:spacing w:before="0" w:after="0"/>
            </w:pPr>
            <w:r>
              <w:rPr>
                <w:rFonts w:ascii="Arial" w:cs="Arial" w:eastAsia="Arial" w:hAnsi="Arial"/>
                <w:i/>
                <w:iCs/>
                <w:color w:val="2E75B6"/>
                <w:sz w:val="18"/>
                <w:szCs w:val="18"/>
              </w:rPr>
              <w:t xml:space="preserve">Scaffold Critical Thinking — Think First, AI Second</w:t>
            </w:r>
          </w:p>
        </w:tc>
        <w:tc>
          <w:tcPr>
            <w:tcW w:type="dxa" w:w="59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20"/>
            </w:tcMar>
          </w:tcPr>
          <w:p>
            <w:r>
              <w:rPr>
                <w:rFonts w:ascii="Arial" w:cs="Arial" w:eastAsia="Arial" w:hAnsi="Arial"/>
                <w:color w:val="404040"/>
                <w:sz w:val="20"/>
                <w:szCs w:val="20"/>
              </w:rPr>
              <w:t xml:space="preserve">Course design should require students to engage with problems before turning to AI, preserving genuine reasoning. AI is positioned as a tool to check, challenge, or extend thinking — not to replace it. Tasks should be structured so that offloading to AI produces worse outcomes, creating real motivation to think first.</w:t>
            </w:r>
          </w:p>
        </w:tc>
      </w:tr>
      <w:tr>
        <w:tc>
          <w:tcPr>
            <w:tcW w:type="dxa" w:w="700"/>
            <w:tcBorders>
              <w:top w:val="single" w:color="BFBFBF" w:sz="1"/>
              <w:left w:val="single" w:color="BFBFBF" w:sz="1"/>
              <w:bottom w:val="single" w:color="BFBFBF" w:sz="1"/>
              <w:right w:val="single" w:color="BFBFBF"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DP4</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20"/>
            </w:tcMar>
          </w:tcPr>
          <w:p>
            <w:pPr>
              <w:spacing w:before="0" w:after="40"/>
            </w:pPr>
            <w:r>
              <w:rPr>
                <w:rFonts w:ascii="Arial" w:cs="Arial" w:eastAsia="Arial" w:hAnsi="Arial"/>
                <w:b/>
                <w:bCs/>
                <w:color w:val="1F4E79"/>
                <w:sz w:val="22"/>
                <w:szCs w:val="22"/>
              </w:rPr>
              <w:t xml:space="preserve">Students Own Their Work</w:t>
            </w:r>
          </w:p>
          <w:p>
            <w:pPr>
              <w:spacing w:before="0" w:after="0"/>
            </w:pPr>
            <w:r>
              <w:rPr>
                <w:rFonts w:ascii="Arial" w:cs="Arial" w:eastAsia="Arial" w:hAnsi="Arial"/>
                <w:i/>
                <w:iCs/>
                <w:color w:val="2E75B6"/>
                <w:sz w:val="18"/>
                <w:szCs w:val="18"/>
              </w:rPr>
              <w:t xml:space="preserve">Student Accountability and Disclosure</w:t>
            </w:r>
          </w:p>
        </w:tc>
        <w:tc>
          <w:tcPr>
            <w:tcW w:type="dxa" w:w="5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20"/>
            </w:tcMar>
          </w:tcPr>
          <w:p>
            <w:r>
              <w:rPr>
                <w:rFonts w:ascii="Arial" w:cs="Arial" w:eastAsia="Arial" w:hAnsi="Arial"/>
                <w:color w:val="404040"/>
                <w:sz w:val="20"/>
                <w:szCs w:val="20"/>
              </w:rPr>
              <w:t xml:space="preserve">Accountability is built into task design, not delegated to plagiarism detection. Where AI use is permitted, tasks must require students to demonstrate their own reasoning. Students are fully responsible for everything they submit — whether they used AI or not — and must be able to stand behind their work.</w:t>
            </w:r>
          </w:p>
        </w:tc>
      </w:tr>
      <w:tr>
        <w:tc>
          <w:tcPr>
            <w:tcW w:type="dxa" w:w="7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DP5</w:t>
            </w:r>
          </w:p>
        </w:tc>
        <w:tc>
          <w:tcPr>
            <w:tcW w:type="dxa" w:w="27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20"/>
            </w:tcMar>
          </w:tcPr>
          <w:p>
            <w:pPr>
              <w:spacing w:before="0" w:after="40"/>
            </w:pPr>
            <w:r>
              <w:rPr>
                <w:rFonts w:ascii="Arial" w:cs="Arial" w:eastAsia="Arial" w:hAnsi="Arial"/>
                <w:b/>
                <w:bCs/>
                <w:color w:val="1F4E79"/>
                <w:sz w:val="22"/>
                <w:szCs w:val="22"/>
              </w:rPr>
              <w:t xml:space="preserve">Be Clear About the Rules — and Why</w:t>
            </w:r>
          </w:p>
          <w:p>
            <w:pPr>
              <w:spacing w:before="0" w:after="0"/>
            </w:pPr>
            <w:r>
              <w:rPr>
                <w:rFonts w:ascii="Arial" w:cs="Arial" w:eastAsia="Arial" w:hAnsi="Arial"/>
                <w:i/>
                <w:iCs/>
                <w:color w:val="2E75B6"/>
                <w:sz w:val="18"/>
                <w:szCs w:val="18"/>
              </w:rPr>
              <w:t xml:space="preserve">Teacher Rationale and Assessment Design</w:t>
            </w:r>
          </w:p>
        </w:tc>
        <w:tc>
          <w:tcPr>
            <w:tcW w:type="dxa" w:w="59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20"/>
            </w:tcMar>
          </w:tcPr>
          <w:p>
            <w:r>
              <w:rPr>
                <w:rFonts w:ascii="Arial" w:cs="Arial" w:eastAsia="Arial" w:hAnsi="Arial"/>
                <w:color w:val="404040"/>
                <w:sz w:val="20"/>
                <w:szCs w:val="20"/>
              </w:rPr>
              <w:t xml:space="preserve">State clearly, per task, what AI use is permitted, what is prohibited, and why — so students understand the reasoning behind the rule, not just the rule itself. Assignments should be designed with AI in mind: if students are likely to use it, rethink how you are assessing them. Where AI is allowed, make the task inclusive for students who choose not to use it.</w:t>
            </w:r>
          </w:p>
        </w:tc>
      </w:tr>
      <w:tr>
        <w:tc>
          <w:tcPr>
            <w:tcW w:type="dxa" w:w="700"/>
            <w:tcBorders>
              <w:top w:val="single" w:color="BFBFBF" w:sz="1"/>
              <w:left w:val="single" w:color="BFBFBF" w:sz="1"/>
              <w:bottom w:val="single" w:color="BFBFBF" w:sz="1"/>
              <w:right w:val="single" w:color="BFBFBF"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DP6</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20"/>
            </w:tcMar>
          </w:tcPr>
          <w:p>
            <w:pPr>
              <w:spacing w:before="0" w:after="40"/>
            </w:pPr>
            <w:r>
              <w:rPr>
                <w:rFonts w:ascii="Arial" w:cs="Arial" w:eastAsia="Arial" w:hAnsi="Arial"/>
                <w:b/>
                <w:bCs/>
                <w:color w:val="1F4E79"/>
                <w:sz w:val="22"/>
                <w:szCs w:val="22"/>
              </w:rPr>
              <w:t xml:space="preserve">Build Integrity Through Conversation</w:t>
            </w:r>
          </w:p>
          <w:p>
            <w:pPr>
              <w:spacing w:before="0" w:after="0"/>
            </w:pPr>
            <w:r>
              <w:rPr>
                <w:rFonts w:ascii="Arial" w:cs="Arial" w:eastAsia="Arial" w:hAnsi="Arial"/>
                <w:i/>
                <w:iCs/>
                <w:color w:val="2E75B6"/>
                <w:sz w:val="18"/>
                <w:szCs w:val="18"/>
              </w:rPr>
              <w:t xml:space="preserve">Academic Integrity Through Dialogue</w:t>
            </w:r>
          </w:p>
        </w:tc>
        <w:tc>
          <w:tcPr>
            <w:tcW w:type="dxa" w:w="5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20"/>
            </w:tcMar>
          </w:tcPr>
          <w:p>
            <w:r>
              <w:rPr>
                <w:rFonts w:ascii="Arial" w:cs="Arial" w:eastAsia="Arial" w:hAnsi="Arial"/>
                <w:color w:val="404040"/>
                <w:sz w:val="20"/>
                <w:szCs w:val="20"/>
              </w:rPr>
              <w:t xml:space="preserve">Academic integrity around AI is not built through compliance regimes — it is built through ongoing conversation. Create regular space for students to surface concerns, discuss grey areas, and co-refine norms with you. Scale oversight to the stakes: more scaffolding for high-stakes tasks, lighter touch for exploratory work.</w:t>
            </w:r>
          </w:p>
        </w:tc>
      </w:tr>
    </w:tbl>
    <w:p>
      <w:pPr>
        <w:spacing w:before="0" w:after="60"/>
      </w:pPr>
      <w:r>
        <w:t xml:space="preserve"/>
      </w:r>
    </w:p>
    <w:p>
      <w:pPr>
        <w:pStyle w:val="Heading1"/>
        <w:spacing w:before="360" w:after="120"/>
      </w:pPr>
      <w:r>
        <w:rPr>
          <w:rFonts w:ascii="Arial" w:cs="Arial" w:eastAsia="Arial" w:hAnsi="Arial"/>
          <w:b/>
          <w:bCs/>
          <w:color w:val="1F4E79"/>
          <w:sz w:val="32"/>
          <w:szCs w:val="32"/>
        </w:rPr>
        <w:t xml:space="preserve">3. What Participation Involves</w:t>
      </w:r>
    </w:p>
    <w:p>
      <w:pPr>
        <w:spacing w:before="60" w:after="120"/>
      </w:pPr>
      <w:r>
        <w:rPr>
          <w:rFonts w:ascii="Arial" w:cs="Arial" w:eastAsia="Arial" w:hAnsi="Arial"/>
          <w:color w:val="404040"/>
          <w:sz w:val="22"/>
          <w:szCs w:val="22"/>
        </w:rPr>
        <w:t xml:space="preserve">Participation consists of three steps. You move through them in sequence, but you can take a break between steps. The full process takes approximately 30 to 45 minutes.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Step 1</w:t>
            </w:r>
          </w:p>
        </w:tc>
        <w:tc>
          <w:tcPr>
            <w:tcW w:type="dxa" w:w="7960"/>
            <w:tcBorders>
              <w:top w:val="none" w:color="FFFFFF" w:sz="0"/>
              <w:left w:val="none" w:color="FFFFFF" w:sz="0"/>
              <w:bottom w:val="none" w:color="FFFFFF" w:sz="0"/>
              <w:right w:val="none" w:color="FFFFFF" w:sz="0"/>
            </w:tcBorders>
            <w:shd w:fill="EBF4FB" w:val="clear"/>
            <w:tcMar>
              <w:top w:type="dxa" w:w="120"/>
              <w:left w:type="dxa" w:w="200"/>
              <w:bottom w:type="dxa" w:w="120"/>
              <w:right w:type="dxa" w:w="200"/>
            </w:tcMar>
          </w:tcPr>
          <w:p>
            <w:pPr>
              <w:spacing w:before="0" w:after="40"/>
            </w:pPr>
            <w:r>
              <w:rPr>
                <w:rFonts w:ascii="Arial" w:cs="Arial" w:eastAsia="Arial" w:hAnsi="Arial"/>
                <w:b/>
                <w:bCs/>
                <w:color w:val="1F4E79"/>
                <w:sz w:val="24"/>
                <w:szCs w:val="24"/>
              </w:rPr>
              <w:t xml:space="preserve">Pre-Survey: Rate the Design Principles</w:t>
            </w:r>
          </w:p>
          <w:p>
            <w:pPr>
              <w:spacing w:before="0" w:after="40"/>
            </w:pPr>
            <w:r>
              <w:rPr>
                <w:rFonts w:ascii="Arial" w:cs="Arial" w:eastAsia="Arial" w:hAnsi="Arial"/>
                <w:color w:val="404040"/>
                <w:sz w:val="22"/>
                <w:szCs w:val="22"/>
              </w:rPr>
              <w:t xml:space="preserve">Before exploring the e-learning, you will rate each of the six design principles on two dimensions: (1) Congruence — how well the principle aligns with how you already think about AI in your course; and (2) Instrumentality — how useful and actionable you find the principle for your own teaching practice. This captures your honest, unprimed perspective before the e-learning materials frame your thinking.</w:t>
            </w:r>
          </w:p>
          <w:p>
            <w:pPr>
              <w:spacing w:before="0" w:after="0"/>
            </w:pPr>
            <w:r>
              <w:rPr>
                <w:rFonts w:ascii="Arial" w:cs="Arial" w:eastAsia="Arial" w:hAnsi="Arial"/>
                <w:i/>
                <w:iCs/>
                <w:color w:val="2E75B6"/>
                <w:sz w:val="20"/>
                <w:szCs w:val="20"/>
              </w:rPr>
              <w:t xml:space="preserve">⏱ Approximately 10–15 minutes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Step 2</w:t>
            </w:r>
          </w:p>
        </w:tc>
        <w:tc>
          <w:tcPr>
            <w:tcW w:type="dxa" w:w="7960"/>
            <w:tcBorders>
              <w:top w:val="none" w:color="FFFFFF" w:sz="0"/>
              <w:left w:val="none" w:color="FFFFFF" w:sz="0"/>
              <w:bottom w:val="none" w:color="FFFFFF" w:sz="0"/>
              <w:right w:val="none" w:color="FFFFFF" w:sz="0"/>
            </w:tcBorders>
            <w:shd w:fill="EBF4FB" w:val="clear"/>
            <w:tcMar>
              <w:top w:type="dxa" w:w="120"/>
              <w:left w:type="dxa" w:w="200"/>
              <w:bottom w:type="dxa" w:w="120"/>
              <w:right w:type="dxa" w:w="200"/>
            </w:tcMar>
          </w:tcPr>
          <w:p>
            <w:pPr>
              <w:spacing w:before="0" w:after="40"/>
            </w:pPr>
            <w:r>
              <w:rPr>
                <w:rFonts w:ascii="Arial" w:cs="Arial" w:eastAsia="Arial" w:hAnsi="Arial"/>
                <w:b/>
                <w:bCs/>
                <w:color w:val="1F4E79"/>
                <w:sz w:val="24"/>
                <w:szCs w:val="24"/>
              </w:rPr>
              <w:t xml:space="preserve">Explore the E-learning Modules</w:t>
            </w:r>
          </w:p>
          <w:p>
            <w:pPr>
              <w:spacing w:before="0" w:after="40"/>
            </w:pPr>
            <w:r>
              <w:rPr>
                <w:rFonts w:ascii="Arial" w:cs="Arial" w:eastAsia="Arial" w:hAnsi="Arial"/>
                <w:color w:val="404040"/>
                <w:sz w:val="22"/>
                <w:szCs w:val="22"/>
              </w:rPr>
              <w:t xml:space="preserve">You will be given access to six short e-learning modules, one for each design principle. Each module explains the principle, gives concrete examples from real courses, and shows what it looks like in practice. As you explore, consider: Which elements are you already applying? Which feel applicable to your own teaching context? Which would you be willing to try?</w:t>
            </w:r>
          </w:p>
          <w:p>
            <w:pPr>
              <w:spacing w:before="0" w:after="0"/>
            </w:pPr>
            <w:r>
              <w:rPr>
                <w:rFonts w:ascii="Arial" w:cs="Arial" w:eastAsia="Arial" w:hAnsi="Arial"/>
                <w:i/>
                <w:iCs/>
                <w:color w:val="2E75B6"/>
                <w:sz w:val="20"/>
                <w:szCs w:val="20"/>
              </w:rPr>
              <w:t xml:space="preserve">⏱ Approximately 15–20 minutes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Step 3</w:t>
            </w:r>
          </w:p>
        </w:tc>
        <w:tc>
          <w:tcPr>
            <w:tcW w:type="dxa" w:w="7960"/>
            <w:tcBorders>
              <w:top w:val="none" w:color="FFFFFF" w:sz="0"/>
              <w:left w:val="none" w:color="FFFFFF" w:sz="0"/>
              <w:bottom w:val="none" w:color="FFFFFF" w:sz="0"/>
              <w:right w:val="none" w:color="FFFFFF" w:sz="0"/>
            </w:tcBorders>
            <w:shd w:fill="EBF4FB" w:val="clear"/>
            <w:tcMar>
              <w:top w:type="dxa" w:w="120"/>
              <w:left w:type="dxa" w:w="200"/>
              <w:bottom w:type="dxa" w:w="120"/>
              <w:right w:type="dxa" w:w="200"/>
            </w:tcMar>
          </w:tcPr>
          <w:p>
            <w:pPr>
              <w:spacing w:before="0" w:after="40"/>
            </w:pPr>
            <w:r>
              <w:rPr>
                <w:rFonts w:ascii="Arial" w:cs="Arial" w:eastAsia="Arial" w:hAnsi="Arial"/>
                <w:b/>
                <w:bCs/>
                <w:color w:val="1F4E79"/>
                <w:sz w:val="24"/>
                <w:szCs w:val="24"/>
              </w:rPr>
              <w:t xml:space="preserve">Follow-up Survey: Your Experience and Intentions</w:t>
            </w:r>
          </w:p>
          <w:p>
            <w:pPr>
              <w:spacing w:before="0" w:after="40"/>
            </w:pPr>
            <w:r>
              <w:rPr>
                <w:rFonts w:ascii="Arial" w:cs="Arial" w:eastAsia="Arial" w:hAnsi="Arial"/>
                <w:color w:val="404040"/>
                <w:sz w:val="22"/>
                <w:szCs w:val="22"/>
              </w:rPr>
              <w:t xml:space="preserve">After exploring the modules, a short follow-up survey asks which modules you engaged with, how you engaged with them (explored only, adapted for your course, used as-is, or shared with students), and what your overall experience was. An open-ended question invites you to share practical barriers, unexpected insights, or suggestions for improvement.</w:t>
            </w:r>
          </w:p>
          <w:p>
            <w:pPr>
              <w:spacing w:before="0" w:after="0"/>
            </w:pPr>
            <w:r>
              <w:rPr>
                <w:rFonts w:ascii="Arial" w:cs="Arial" w:eastAsia="Arial" w:hAnsi="Arial"/>
                <w:i/>
                <w:iCs/>
                <w:color w:val="2E75B6"/>
                <w:sz w:val="20"/>
                <w:szCs w:val="20"/>
              </w:rPr>
              <w:t xml:space="preserve">⏱ Approximately 5–10 minutes</w:t>
            </w:r>
          </w:p>
        </w:tc>
      </w:tr>
    </w:tbl>
    <w:p>
      <w:pPr>
        <w:spacing w:before="0" w:after="60"/>
      </w:pPr>
      <w:r>
        <w:t xml:space="preserve"/>
      </w:r>
    </w:p>
    <w:p>
      <w:pPr>
        <w:pStyle w:val="Heading1"/>
        <w:spacing w:before="360" w:after="120"/>
      </w:pPr>
      <w:r>
        <w:rPr>
          <w:rFonts w:ascii="Arial" w:cs="Arial" w:eastAsia="Arial" w:hAnsi="Arial"/>
          <w:b/>
          <w:bCs/>
          <w:color w:val="1F4E79"/>
          <w:sz w:val="32"/>
          <w:szCs w:val="32"/>
        </w:rPr>
        <w:t xml:space="preserve">4. A Closer Look at the E-learning</w:t>
      </w:r>
    </w:p>
    <w:p>
      <w:pPr>
        <w:spacing w:before="60" w:after="120"/>
      </w:pPr>
      <w:r>
        <w:rPr>
          <w:rFonts w:ascii="Arial" w:cs="Arial" w:eastAsia="Arial" w:hAnsi="Arial"/>
          <w:color w:val="404040"/>
          <w:sz w:val="22"/>
          <w:szCs w:val="22"/>
        </w:rPr>
        <w:t xml:space="preserve">Each of the six e-learning modules is built around one design principle. The modules are practical and teacher-facing rather than academic. A typical module includes:</w:t>
      </w:r>
    </w:p>
    <w:p>
      <w:pPr>
        <w:pStyle w:val="ListParagraph"/>
        <w:numPr>
          <w:ilvl w:val="0"/>
          <w:numId w:val="2"/>
        </w:numPr>
        <w:spacing w:before="40" w:after="60"/>
      </w:pPr>
      <w:r>
        <w:rPr>
          <w:rFonts w:ascii="Arial" w:cs="Arial" w:eastAsia="Arial" w:hAnsi="Arial"/>
          <w:color w:val="404040"/>
          <w:sz w:val="22"/>
          <w:szCs w:val="22"/>
        </w:rPr>
        <w:t xml:space="preserve">A brief explanation of what the principle means and why it matters, grounded in real student and teacher data</w:t>
      </w:r>
    </w:p>
    <w:p>
      <w:pPr>
        <w:pStyle w:val="ListParagraph"/>
        <w:numPr>
          <w:ilvl w:val="0"/>
          <w:numId w:val="2"/>
        </w:numPr>
        <w:spacing w:before="40" w:after="60"/>
      </w:pPr>
      <w:r>
        <w:rPr>
          <w:rFonts w:ascii="Arial" w:cs="Arial" w:eastAsia="Arial" w:hAnsi="Arial"/>
          <w:color w:val="404040"/>
          <w:sz w:val="22"/>
          <w:szCs w:val="22"/>
        </w:rPr>
        <w:t xml:space="preserve">One or more concrete examples of how the principle has been applied in a higher education course</w:t>
      </w:r>
    </w:p>
    <w:p>
      <w:pPr>
        <w:pStyle w:val="ListParagraph"/>
        <w:numPr>
          <w:ilvl w:val="0"/>
          <w:numId w:val="2"/>
        </w:numPr>
        <w:spacing w:before="40" w:after="60"/>
      </w:pPr>
      <w:r>
        <w:rPr>
          <w:rFonts w:ascii="Arial" w:cs="Arial" w:eastAsia="Arial" w:hAnsi="Arial"/>
          <w:color w:val="404040"/>
          <w:sz w:val="22"/>
          <w:szCs w:val="22"/>
        </w:rPr>
        <w:t xml:space="preserve">Reflection prompts that invite you to connect the principle to your own teaching context</w:t>
      </w:r>
    </w:p>
    <w:p>
      <w:pPr>
        <w:pStyle w:val="ListParagraph"/>
        <w:numPr>
          <w:ilvl w:val="0"/>
          <w:numId w:val="2"/>
        </w:numPr>
        <w:spacing w:before="40" w:after="60"/>
      </w:pPr>
      <w:r>
        <w:rPr>
          <w:rFonts w:ascii="Arial" w:cs="Arial" w:eastAsia="Arial" w:hAnsi="Arial"/>
          <w:color w:val="404040"/>
          <w:sz w:val="22"/>
          <w:szCs w:val="22"/>
        </w:rPr>
        <w:t xml:space="preserve">Practical suggestions for implementation: what this could look like in a course like yours, including low-effort starting points</w:t>
      </w:r>
    </w:p>
    <w:p>
      <w:pPr>
        <w:spacing w:before="0" w:after="60"/>
      </w:pPr>
      <w:r>
        <w:t xml:space="preserve"/>
      </w:r>
    </w:p>
    <w:p>
      <w:pPr>
        <w:spacing w:before="60" w:after="120"/>
      </w:pPr>
      <w:r>
        <w:rPr>
          <w:rFonts w:ascii="Arial" w:cs="Arial" w:eastAsia="Arial" w:hAnsi="Arial"/>
          <w:color w:val="404040"/>
          <w:sz w:val="22"/>
          <w:szCs w:val="22"/>
        </w:rPr>
        <w:t xml:space="preserve">As you go through the modules, we are particularly interested in three things:</w:t>
      </w:r>
    </w:p>
    <w:p>
      <w:pPr>
        <w:pStyle w:val="ListParagraph"/>
        <w:numPr>
          <w:ilvl w:val="0"/>
          <w:numId w:val="3"/>
        </w:numPr>
        <w:spacing w:before="40" w:after="60"/>
      </w:pPr>
      <w:r>
        <w:rPr>
          <w:rFonts w:ascii="Arial" w:cs="Arial" w:eastAsia="Arial" w:hAnsi="Arial"/>
          <w:color w:val="404040"/>
          <w:sz w:val="22"/>
          <w:szCs w:val="22"/>
        </w:rPr>
        <w:t xml:space="preserve">Are you already doing this? We want to know which elements reflect practices you have already adopted, even if you would not have used the same labels.</w:t>
      </w:r>
    </w:p>
    <w:p>
      <w:pPr>
        <w:pStyle w:val="ListParagraph"/>
        <w:numPr>
          <w:ilvl w:val="0"/>
          <w:numId w:val="3"/>
        </w:numPr>
        <w:spacing w:before="40" w:after="60"/>
      </w:pPr>
      <w:r>
        <w:rPr>
          <w:rFonts w:ascii="Arial" w:cs="Arial" w:eastAsia="Arial" w:hAnsi="Arial"/>
          <w:color w:val="404040"/>
          <w:sz w:val="22"/>
          <w:szCs w:val="22"/>
        </w:rPr>
        <w:t xml:space="preserve">Would you use this? We are interested in your honest sense of which principles feel immediately applicable and which feel less relevant or feasible in your context.</w:t>
      </w:r>
    </w:p>
    <w:p>
      <w:pPr>
        <w:pStyle w:val="ListParagraph"/>
        <w:numPr>
          <w:ilvl w:val="0"/>
          <w:numId w:val="3"/>
        </w:numPr>
        <w:spacing w:before="40" w:after="60"/>
      </w:pPr>
      <w:r>
        <w:rPr>
          <w:rFonts w:ascii="Arial" w:cs="Arial" w:eastAsia="Arial" w:hAnsi="Arial"/>
          <w:color w:val="404040"/>
          <w:sz w:val="22"/>
          <w:szCs w:val="22"/>
        </w:rPr>
        <w:t xml:space="preserve">What gets in the way? We want to understand practical barriers: workload, institutional constraints, student expectations, or anything else that would make a principle harder to implement.</w:t>
      </w:r>
    </w:p>
    <w:p>
      <w:pPr>
        <w:spacing w:before="0" w:after="60"/>
      </w:pPr>
      <w:r>
        <w:t xml:space="preserve"/>
      </w:r>
    </w:p>
    <w:p>
      <w:pPr>
        <w:pStyle w:val="Heading1"/>
        <w:spacing w:before="360" w:after="120"/>
      </w:pPr>
      <w:r>
        <w:rPr>
          <w:rFonts w:ascii="Arial" w:cs="Arial" w:eastAsia="Arial" w:hAnsi="Arial"/>
          <w:b/>
          <w:bCs/>
          <w:color w:val="1F4E79"/>
          <w:sz w:val="32"/>
          <w:szCs w:val="32"/>
        </w:rPr>
        <w:t xml:space="preserve">5. Participation Details</w:t>
      </w:r>
    </w:p>
    <w:p>
      <w:pPr>
        <w:pStyle w:val="Heading2"/>
        <w:spacing w:before="240" w:after="80"/>
      </w:pPr>
      <w:r>
        <w:rPr>
          <w:rFonts w:ascii="Arial" w:cs="Arial" w:eastAsia="Arial" w:hAnsi="Arial"/>
          <w:b/>
          <w:bCs/>
          <w:color w:val="2E75B6"/>
          <w:sz w:val="26"/>
          <w:szCs w:val="26"/>
        </w:rPr>
        <w:t xml:space="preserve">Who can participate?</w:t>
      </w:r>
    </w:p>
    <w:p>
      <w:pPr>
        <w:spacing w:before="60" w:after="120"/>
      </w:pPr>
      <w:r>
        <w:rPr>
          <w:rFonts w:ascii="Arial" w:cs="Arial" w:eastAsia="Arial" w:hAnsi="Arial"/>
          <w:color w:val="404040"/>
          <w:sz w:val="22"/>
          <w:szCs w:val="22"/>
        </w:rPr>
        <w:t xml:space="preserve">This study is open to teachers and lecturers currently teaching in higher education who have experience with or interest in the use of generative AI tools (such as ChatGPT, Microsoft Copilot, or similar) in their courses. You do not need to be a technology specialist or to have formally integrated AI into your teaching. Your perspective as someone navigating this landscape — wherever you currently are in that process — is valuable.</w:t>
      </w:r>
    </w:p>
    <w:p>
      <w:pPr>
        <w:pStyle w:val="Heading2"/>
        <w:spacing w:before="240" w:after="80"/>
      </w:pPr>
      <w:r>
        <w:rPr>
          <w:rFonts w:ascii="Arial" w:cs="Arial" w:eastAsia="Arial" w:hAnsi="Arial"/>
          <w:b/>
          <w:bCs/>
          <w:color w:val="2E75B6"/>
          <w:sz w:val="26"/>
          <w:szCs w:val="26"/>
        </w:rPr>
        <w:t xml:space="preserve">Is participation voluntary?</w:t>
      </w:r>
    </w:p>
    <w:p>
      <w:pPr>
        <w:spacing w:before="60" w:after="120"/>
      </w:pPr>
      <w:r>
        <w:rPr>
          <w:rFonts w:ascii="Arial" w:cs="Arial" w:eastAsia="Arial" w:hAnsi="Arial"/>
          <w:color w:val="404040"/>
          <w:sz w:val="22"/>
          <w:szCs w:val="22"/>
        </w:rPr>
        <w:t xml:space="preserve">Yes. Participation is entirely voluntary. You are free to stop at any point without giving a reason and without any consequences.</w:t>
      </w:r>
    </w:p>
    <w:p>
      <w:pPr>
        <w:pStyle w:val="Heading2"/>
        <w:spacing w:before="240" w:after="80"/>
      </w:pPr>
      <w:r>
        <w:rPr>
          <w:rFonts w:ascii="Arial" w:cs="Arial" w:eastAsia="Arial" w:hAnsi="Arial"/>
          <w:b/>
          <w:bCs/>
          <w:color w:val="2E75B6"/>
          <w:sz w:val="26"/>
          <w:szCs w:val="26"/>
        </w:rPr>
        <w:t xml:space="preserve">How will your data be used?</w:t>
      </w:r>
    </w:p>
    <w:p>
      <w:pPr>
        <w:spacing w:before="60" w:after="120"/>
      </w:pPr>
      <w:r>
        <w:rPr>
          <w:rFonts w:ascii="Arial" w:cs="Arial" w:eastAsia="Arial" w:hAnsi="Arial"/>
          <w:color w:val="404040"/>
          <w:sz w:val="22"/>
          <w:szCs w:val="22"/>
        </w:rPr>
        <w:t xml:space="preserve">Your responses will be used solely for the purposes of this research study. Data will be anonymised before analysis, and individual responses will not be attributed to you by name in any publication or report. Aggregated findings will be reported in a peer-reviewed journal article and shared with participants on request.</w:t>
      </w:r>
    </w:p>
    <w:p>
      <w:pPr>
        <w:pStyle w:val="Heading2"/>
        <w:spacing w:before="240" w:after="80"/>
      </w:pPr>
      <w:r>
        <w:rPr>
          <w:rFonts w:ascii="Arial" w:cs="Arial" w:eastAsia="Arial" w:hAnsi="Arial"/>
          <w:b/>
          <w:bCs/>
          <w:color w:val="2E75B6"/>
          <w:sz w:val="26"/>
          <w:szCs w:val="26"/>
        </w:rPr>
        <w:t xml:space="preserve">Will you receive feedback?</w:t>
      </w:r>
    </w:p>
    <w:p>
      <w:pPr>
        <w:spacing w:before="60" w:after="120"/>
      </w:pPr>
      <w:r>
        <w:rPr>
          <w:rFonts w:ascii="Arial" w:cs="Arial" w:eastAsia="Arial" w:hAnsi="Arial"/>
          <w:color w:val="404040"/>
          <w:sz w:val="22"/>
          <w:szCs w:val="22"/>
        </w:rPr>
        <w:t xml:space="preserve">Yes. All participants who complete the full process will receive a summary of the study findings once analysis is complete. If you would like to take part in a brief follow-up conversation to share your experience in more depth, you are welcome to indicate this at the end of the follow-up survey.</w:t>
      </w:r>
    </w:p>
    <w:p>
      <w:pPr>
        <w:pStyle w:val="Heading2"/>
        <w:spacing w:before="240" w:after="80"/>
      </w:pPr>
      <w:r>
        <w:rPr>
          <w:rFonts w:ascii="Arial" w:cs="Arial" w:eastAsia="Arial" w:hAnsi="Arial"/>
          <w:b/>
          <w:bCs/>
          <w:color w:val="2E75B6"/>
          <w:sz w:val="26"/>
          <w:szCs w:val="26"/>
        </w:rPr>
        <w:t xml:space="preserve">Ethics and data protection</w:t>
      </w:r>
    </w:p>
    <w:p>
      <w:pPr>
        <w:spacing w:before="60" w:after="120"/>
      </w:pPr>
      <w:r>
        <w:rPr>
          <w:rFonts w:ascii="Arial" w:cs="Arial" w:eastAsia="Arial" w:hAnsi="Arial"/>
          <w:color w:val="404040"/>
          <w:sz w:val="22"/>
          <w:szCs w:val="22"/>
        </w:rPr>
        <w:t xml:space="preserve">This study has been reviewed and approved in accordance with the ethical standards of Vrije Universiteit Amsterdam. All data are stored securely and processed in compliance with GDPR. You will be asked for your informed consent before completing the pre-survey.</w:t>
      </w:r>
    </w:p>
    <w:p>
      <w:pPr>
        <w:spacing w:before="0" w:after="60"/>
      </w:pPr>
      <w:r>
        <w:t xml:space="preserve"/>
      </w:r>
    </w:p>
    <w:p>
      <w:pPr>
        <w:pBdr>
          <w:bottom w:val="single" w:color="D5E8F0" w:sz="4" w:space="1"/>
        </w:pBdr>
        <w:spacing w:before="24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none" w:color="FFFFFF" w:sz="0"/>
              <w:left w:val="none" w:color="FFFFFF" w:sz="0"/>
              <w:bottom w:val="none" w:color="FFFFFF" w:sz="0"/>
              <w:right w:val="none" w:color="FFFFFF" w:sz="0"/>
            </w:tcBorders>
            <w:shd w:fill="FFFFFF" w:val="clear"/>
            <w:tcMar>
              <w:top w:type="dxa" w:w="160"/>
              <w:left w:type="dxa" w:w="0"/>
              <w:bottom w:type="dxa" w:w="160"/>
              <w:right w:type="dxa" w:w="200"/>
            </w:tcMar>
          </w:tcPr>
          <w:p>
            <w:pPr>
              <w:spacing w:before="0" w:after="60"/>
            </w:pPr>
            <w:r>
              <w:rPr>
                <w:rFonts w:ascii="Arial" w:cs="Arial" w:eastAsia="Arial" w:hAnsi="Arial"/>
                <w:b/>
                <w:bCs/>
                <w:color w:val="1F4E79"/>
                <w:sz w:val="24"/>
                <w:szCs w:val="24"/>
              </w:rPr>
              <w:t xml:space="preserve">Questions or interested in participating?</w:t>
            </w:r>
          </w:p>
          <w:p>
            <w:pPr>
              <w:spacing w:before="0" w:after="80"/>
            </w:pPr>
            <w:r>
              <w:rPr>
                <w:rFonts w:ascii="Arial" w:cs="Arial" w:eastAsia="Arial" w:hAnsi="Arial"/>
                <w:color w:val="404040"/>
                <w:sz w:val="22"/>
                <w:szCs w:val="22"/>
              </w:rPr>
              <w:t xml:space="preserve">Please reach out to the researcher directly. We are happy to answer any questions before you decide whether to participate.</w:t>
            </w:r>
          </w:p>
          <w:p>
            <w:pPr>
              <w:spacing w:before="0" w:after="40"/>
            </w:pPr>
            <w:r>
              <w:rPr>
                <w:rFonts w:ascii="Arial" w:cs="Arial" w:eastAsia="Arial" w:hAnsi="Arial"/>
                <w:b/>
                <w:bCs/>
                <w:color w:val="1A1A1A"/>
                <w:sz w:val="22"/>
                <w:szCs w:val="22"/>
              </w:rPr>
              <w:t xml:space="preserve">Mary-Jo Diepeveen</w:t>
            </w:r>
          </w:p>
          <w:p>
            <w:pPr>
              <w:spacing w:before="0" w:after="40"/>
            </w:pPr>
            <w:r>
              <w:rPr>
                <w:rFonts w:ascii="Arial" w:cs="Arial" w:eastAsia="Arial" w:hAnsi="Arial"/>
                <w:color w:val="404040"/>
                <w:sz w:val="22"/>
                <w:szCs w:val="22"/>
              </w:rPr>
              <w:t xml:space="preserve">PhD Candidate, Faculty of Innovations in Human Health and Life Sciences</w:t>
            </w:r>
          </w:p>
          <w:p>
            <w:pPr>
              <w:spacing w:before="0" w:after="40"/>
            </w:pPr>
            <w:r>
              <w:rPr>
                <w:rFonts w:ascii="Arial" w:cs="Arial" w:eastAsia="Arial" w:hAnsi="Arial"/>
                <w:color w:val="404040"/>
                <w:sz w:val="22"/>
                <w:szCs w:val="22"/>
              </w:rPr>
              <w:t xml:space="preserve">Vrije Universiteit Amsterdam</w:t>
            </w:r>
          </w:p>
          <w:p>
            <w:pPr>
              <w:spacing w:before="0" w:after="0"/>
            </w:pPr>
            <w:hyperlink w:history="1" r:id="rIdj5fn2ds-csaya0zlq-f6w">
              <w:r>
                <w:rPr>
                  <w:rStyle w:val="Hyperlink"/>
                  <w:rFonts w:ascii="Arial" w:cs="Arial" w:eastAsia="Arial" w:hAnsi="Arial"/>
                  <w:sz w:val="22"/>
                  <w:szCs w:val="22"/>
                </w:rPr>
                <w:t xml:space="preserve">maryjodiepeveen@gmail.com</w:t>
              </w:r>
            </w:hyperlink>
          </w:p>
        </w:tc>
        <w:tc>
          <w:tcPr>
            <w:tcBorders>
              <w:top w:val="none" w:color="FFFFFF" w:sz="0"/>
              <w:left w:val="none" w:color="FFFFFF" w:sz="0"/>
              <w:bottom w:val="none" w:color="FFFFFF" w:sz="0"/>
              <w:right w:val="none" w:color="FFFFFF" w:sz="0"/>
            </w:tcBorders>
            <w:shd w:fill="EBF4FB" w:val="clear"/>
            <w:tcMar>
              <w:top w:type="dxa" w:w="160"/>
              <w:left w:type="dxa" w:w="240"/>
              <w:bottom w:type="dxa" w:w="160"/>
              <w:right w:type="dxa" w:w="200"/>
            </w:tcMar>
          </w:tcPr>
          <w:p>
            <w:pPr>
              <w:spacing w:before="0" w:after="60"/>
            </w:pPr>
            <w:r>
              <w:rPr>
                <w:rFonts w:ascii="Arial" w:cs="Arial" w:eastAsia="Arial" w:hAnsi="Arial"/>
                <w:b/>
                <w:bCs/>
                <w:color w:val="1F4E79"/>
                <w:sz w:val="22"/>
                <w:szCs w:val="22"/>
              </w:rPr>
              <w:t xml:space="preserve">Supervisors</w:t>
            </w:r>
          </w:p>
          <w:p>
            <w:pPr>
              <w:spacing w:before="0" w:after="40"/>
            </w:pPr>
            <w:r>
              <w:rPr>
                <w:rFonts w:ascii="Arial" w:cs="Arial" w:eastAsia="Arial" w:hAnsi="Arial"/>
                <w:color w:val="404040"/>
                <w:sz w:val="20"/>
                <w:szCs w:val="20"/>
              </w:rPr>
              <w:t xml:space="preserve">Prof. dr. Jacqueline van Muijlwijk (promotor)</w:t>
            </w:r>
          </w:p>
          <w:p>
            <w:pPr>
              <w:spacing w:before="0" w:after="40"/>
            </w:pPr>
            <w:r>
              <w:rPr>
                <w:rFonts w:ascii="Arial" w:cs="Arial" w:eastAsia="Arial" w:hAnsi="Arial"/>
                <w:color w:val="404040"/>
                <w:sz w:val="20"/>
                <w:szCs w:val="20"/>
              </w:rPr>
              <w:t xml:space="preserve">Dr. Hanna Westbroek (co-promotor)</w:t>
            </w:r>
          </w:p>
          <w:p>
            <w:pPr>
              <w:spacing w:before="0" w:after="80"/>
            </w:pPr>
            <w:r>
              <w:rPr>
                <w:rFonts w:ascii="Arial" w:cs="Arial" w:eastAsia="Arial" w:hAnsi="Arial"/>
                <w:color w:val="404040"/>
                <w:sz w:val="20"/>
                <w:szCs w:val="20"/>
              </w:rPr>
              <w:t xml:space="preserve">Dr. Danny Scholten (daily supervisor)</w:t>
            </w:r>
          </w:p>
          <w:p>
            <w:pPr>
              <w:spacing w:before="0" w:after="60"/>
            </w:pPr>
            <w:r>
              <w:rPr>
                <w:rFonts w:ascii="Arial" w:cs="Arial" w:eastAsia="Arial" w:hAnsi="Arial"/>
                <w:b/>
                <w:bCs/>
                <w:color w:val="1F4E79"/>
                <w:sz w:val="22"/>
                <w:szCs w:val="22"/>
              </w:rPr>
              <w:t xml:space="preserve">Submitted to</w:t>
            </w:r>
          </w:p>
          <w:p>
            <w:pPr>
              <w:spacing w:before="0" w:after="0"/>
            </w:pPr>
            <w:r>
              <w:rPr>
                <w:rFonts w:ascii="Arial" w:cs="Arial" w:eastAsia="Arial" w:hAnsi="Arial"/>
                <w:color w:val="404040"/>
                <w:sz w:val="20"/>
                <w:szCs w:val="20"/>
              </w:rPr>
              <w:t xml:space="preserve">Computers &amp; Education: Artificial Intelligence (Elsevier)</w:t>
            </w:r>
          </w:p>
        </w:tc>
      </w:tr>
    </w:tbl>
    <w:p>
      <w:pPr>
        <w:spacing w:before="0" w:after="60"/>
      </w:pPr>
      <w:r>
        <w:t xml:space="preserve"/>
      </w:r>
    </w:p>
    <w:p>
      <w:pPr>
        <w:spacing w:before="120" w:after="0"/>
        <w:jc w:val="center"/>
      </w:pPr>
      <w:r>
        <w:rPr>
          <w:rFonts w:ascii="Arial" w:cs="Arial" w:eastAsia="Arial" w:hAnsi="Arial"/>
          <w:i/>
          <w:iCs/>
          <w:color w:val="BFBFBF"/>
          <w:sz w:val="20"/>
          <w:szCs w:val="20"/>
        </w:rPr>
        <w:t xml:space="preserve">Thank you for considering participation. Your expertise and experience are what make this research meaningful.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1"/>
      </w:pBdr>
      <w:jc w:val="right"/>
    </w:pPr>
    <w:r>
      <w:rPr>
        <w:rFonts w:ascii="Arial" w:cs="Arial" w:eastAsia="Arial" w:hAnsi="Arial"/>
        <w:color w:val="BFBFBF"/>
        <w:sz w:val="18"/>
        <w:szCs w:val="18"/>
      </w:rPr>
      <w:t xml:space="preserve">Page </w:t>
    </w:r>
    <w:r>
      <w:rPr>
        <w:rFonts w:ascii="Arial" w:cs="Arial" w:eastAsia="Arial" w:hAnsi="Arial"/>
        <w:color w:val="BFBFBF"/>
        <w:sz w:val="18"/>
        <w:szCs w:val="18"/>
      </w:rPr>
      <w:fldChar w:fldCharType="begin"/>
      <w:instrText xml:space="preserve">PAGE</w:instrText>
      <w:fldChar w:fldCharType="separate"/>
      <w:fldChar w:fldCharType="end"/>
    </w:r>
    <w:r>
      <w:rPr>
        <w:rFonts w:ascii="Arial" w:cs="Arial" w:eastAsia="Arial" w:hAnsi="Arial"/>
        <w:color w:val="BFBFBF"/>
        <w:sz w:val="18"/>
        <w:szCs w:val="18"/>
      </w:rPr>
      <w:t xml:space="preserve">  |  Contact: maryjodiepeveen@gmail.com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1"/>
      </w:pBdr>
    </w:pPr>
    <w:r>
      <w:rPr>
        <w:rFonts w:ascii="Arial" w:cs="Arial" w:eastAsia="Arial" w:hAnsi="Arial"/>
        <w:color w:val="BFBFBF"/>
        <w:sz w:val="18"/>
        <w:szCs w:val="18"/>
      </w:rPr>
      <w:t xml:space="preserve">Invitation to Participate  |  Meaningful AI Integration in Higher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j5fn2ds-csaya0zlq-f6w" Type="http://schemas.openxmlformats.org/officeDocument/2006/relationships/hyperlink" Target="mailto:maryjodiepeveen@gmail.com"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2026-03-26T14:14:37.895Z</dcterms:created>
  <dcterms:modified xsi:type="dcterms:W3CDTF">2026-03-26T14:14:37.895Z</dcterms:modified>
</cp:coreProperties>
</file>

<file path=docProps/custom.xml><?xml version="1.0" encoding="utf-8"?>
<Properties xmlns="http://schemas.openxmlformats.org/officeDocument/2006/custom-properties" xmlns:vt="http://schemas.openxmlformats.org/officeDocument/2006/docPropsVTypes"/>
</file>