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color ns0:val="17365D"/>
          <ns0:sz ns0:val="30"/>
        </ns0:rPr>
        <ns0:t>COVENTRY UNIVERSITY</ns0:t>
      </ns0:r>
    </ns0:p>
    <ns0:p>
      <ns0:pPr>
        <ns0:jc ns0:val="center"/>
      </ns0:pPr>
      <ns0:r>
        <ns0:rPr>
          <ns0:b/>
          <ns0:sz ns0:val="34"/>
        </ns0:rPr>
        <ns0:t>Supervisor Feedback Resolution Log</ns0:t>
      </ns0:r>
    </ns0:p>
    <ns0:p>
      <ns0:pPr>
        <ns0:jc ns0:val="center"/>
      </ns0:pPr>
      <ns0:r>
        <ns0:rPr>
          <ns0:i/>
          <ns0:sz ns0:val="21"/>
        </ns0:rPr>
        <ns0:t>Final dissertation alignment record – 20 October 2026</ns0:t>
      </ns0:r>
    </ns0:p>
    <ns0:p>
      <ns0:pPr>
        <ns0:jc ns0:val="center"/>
      </ns0:pPr>
      <ns0:r>
        <ns0:rPr>
          <ns0:sz ns0:val="19"/>
        </ns0:rPr>
        <ns0:t>Vasu Deva Rao Madireddy | Student ID 16814044 | MSc Business Analytics | 7015SOM</ns0:t>
      </ns0:r>
    </ns0:p>
    <ns0:p/>
    <ns0:p>
      <ns0:pPr>
        <ns0:pStyle ns0:val="Heading1"/>
      </ns0:pPr>
      <ns0:r>
        <ns0:t>Purpose</ns0:t>
      </ns0:r>
    </ns0:p>
    <ns0:p>
      <ns0:r>
        <ns0:t>This log records the substantive feedback raised across the supervisor meetings and shows how each point is resolved in the final dissertation. It is a quality-control document for review and defence preparation; it is not intended to replace the dissertation.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987"/>
        <ns0:gridCol ns0:w="1987"/>
        <ns0:gridCol ns0:w="1987"/>
        <ns0:gridCol ns0:w="1987"/>
        <ns0:gridCol ns0:w="1987"/>
      </ns0:tblGrid>
      <ns0:tr>
        <ns0:trPr>
          <ns0:tblHeader ns0:val="true"/>
        </ns0:trPr>
        <ns0:tc>
          <ns0:tcPr>
            <ns0:tcW ns0:type="dxa" ns0:w="2160"/>
            <ns0:shd ns0:fill="2F75B5"/>
            <ns0:vAlign ns0:val="top"/>
          </ns0:tcPr>
          <ns0:p>
            <ns0:r>
              <ns0:rPr>
                <ns0:b/>
                <ns0:color ns0:val="FFFFFF"/>
                <ns0:sz ns0:val="17"/>
              </ns0:rPr>
              <ns0:t>Supervisor point</ns0:t>
            </ns0:r>
          </ns0:p>
        </ns0:tc>
        <ns0:tc>
          <ns0:tcPr>
            <ns0:tcW ns0:type="dxa" ns0:w="3168"/>
            <ns0:shd ns0:fill="2F75B5"/>
            <ns0:vAlign ns0:val="top"/>
          </ns0:tcPr>
          <ns0:p>
            <ns0:r>
              <ns0:rPr>
                <ns0:b/>
                <ns0:color ns0:val="FFFFFF"/>
                <ns0:sz ns0:val="17"/>
              </ns0:rPr>
              <ns0:t>Required action</ns0:t>
            </ns0:r>
          </ns0:p>
        </ns0:tc>
        <ns0:tc>
          <ns0:tcPr>
            <ns0:tcW ns0:type="dxa" ns0:w="4320"/>
            <ns0:shd ns0:fill="2F75B5"/>
            <ns0:vAlign ns0:val="top"/>
          </ns0:tcPr>
          <ns0:p>
            <ns0:r>
              <ns0:rPr>
                <ns0:b/>
                <ns0:color ns0:val="FFFFFF"/>
                <ns0:sz ns0:val="17"/>
              </ns0:rPr>
              <ns0:t>Final resolution</ns0:t>
            </ns0:r>
          </ns0:p>
        </ns0:tc>
        <ns0:tc>
          <ns0:tcPr>
            <ns0:tcW ns0:type="dxa" ns0:w="1728"/>
            <ns0:shd ns0:fill="2F75B5"/>
            <ns0:vAlign ns0:val="top"/>
          </ns0:tcPr>
          <ns0:p>
            <ns0:r>
              <ns0:rPr>
                <ns0:b/>
                <ns0:color ns0:val="FFFFFF"/>
                <ns0:sz ns0:val="17"/>
              </ns0:rPr>
              <ns0:t>Location</ns0:t>
            </ns0:r>
          </ns0:p>
        </ns0:tc>
        <ns0:tc>
          <ns0:tcPr>
            <ns0:tcW ns0:type="dxa" ns0:w="1152"/>
            <ns0:shd ns0:fill="2F75B5"/>
            <ns0:vAlign ns0:val="top"/>
          </ns0:tcPr>
          <ns0:p>
            <ns0:r>
              <ns0:rPr>
                <ns0:b/>
                <ns0:color ns0:val="FFFFFF"/>
                <ns0:sz ns0:val="17"/>
              </ns0:rPr>
              <ns0:t>Status</ns0:t>
            </ns0:r>
          </ns0:p>
        </ns0:tc>
      </ns0:tr>
      <ns0:tr>
        <ns0:tc>
          <ns0:tcPr>
            <ns0:tcW ns0:type="dxa" ns0:w="2160"/>
            <ns0:vAlign ns0:val="top"/>
          </ns0:tcPr>
          <ns0:p>
            <ns0:r>
              <ns0:rPr>
                <ns0:sz ns0:val="17"/>
              </ns0:rPr>
              <ns0:t>Reference checking and Turnitin warning</ns0:t>
            </ns0:r>
          </ns0:p>
        </ns0:tc>
        <ns0:tc>
          <ns0:tcPr>
            <ns0:tcW ns0:type="dxa" ns0:w="3168"/>
            <ns0:vAlign ns0:val="top"/>
          </ns0:tcPr>
          <ns0:p>
            <ns0:r>
              <ns0:rPr>
                <ns0:sz ns0:val="17"/>
              </ns0:rPr>
              <ns0:t>Verify every bibliography item independently; check year, title, journal/publisher and DOI/official URL.</ns0:t>
            </ns0:r>
          </ns0:p>
        </ns0:tc>
        <ns0:tc>
          <ns0:tcPr>
            <ns0:tcW ns0:type="dxa" ns0:w="4320"/>
            <ns0:vAlign ns0:val="top"/>
          </ns0:tcPr>
          <ns0:p>
            <ns0:r>
              <ns0:rPr>
                <ns0:sz ns0:val="17"/>
              </ns0:rPr>
              <ns0:t>Full reference list re-audited against DOI/publisher/official sources; entries retained only where verifiable; APA ordering corrected.</ns0:t>
            </ns0:r>
          </ns0:p>
        </ns0:tc>
        <ns0:tc>
          <ns0:tcPr>
            <ns0:tcW ns0:type="dxa" ns0:w="1728"/>
            <ns0:vAlign ns0:val="top"/>
          </ns0:tcPr>
          <ns0:p>
            <ns0:r>
              <ns0:rPr>
                <ns0:sz ns0:val="17"/>
              </ns0:rPr>
              <ns0:t>References; separate Reference Verification Log</ns0:t>
            </ns0:r>
          </ns0:p>
        </ns0:tc>
        <ns0:tc>
          <ns0:tcPr>
            <ns0:tcW ns0:type="dxa" ns0:w="1152"/>
            <ns0:vAlign ns0:val="top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  <ns0:shd ns0:fill="F8FBFD"/>
          </ns0:tcPr>
          <ns0:p>
            <ns0:r>
              <ns0:rPr>
                <ns0:sz ns0:val="17"/>
              </ns0:rPr>
              <ns0:t>Research Onion missing</ns0:t>
            </ns0:r>
          </ns0:p>
        </ns0:tc>
        <ns0:tc>
          <ns0:tcPr>
            <ns0:tcW ns0:type="dxa" ns0:w="3168"/>
            <ns0:vAlign ns0:val="top"/>
            <ns0:shd ns0:fill="F8FBFD"/>
          </ns0:tcPr>
          <ns0:p>
            <ns0:r>
              <ns0:rPr>
                <ns0:sz ns0:val="17"/>
              </ns0:rPr>
              <ns0:t>Introduce the Research Onion at the start of methodology, add a captioned figure and explain how the project follows the layers.</ns0:t>
            </ns0:r>
          </ns0:p>
        </ns0:tc>
        <ns0:tc>
          <ns0:tcPr>
            <ns0:tcW ns0:type="dxa" ns0:w="4320"/>
            <ns0:vAlign ns0:val="top"/>
            <ns0:shd ns0:fill="F8FBFD"/>
          </ns0:tcPr>
          <ns0:p>
            <ns0:r>
              <ns0:rPr>
                <ns0:sz ns0:val="17"/>
              </ns0:rPr>
              <ns0:t>Chapter 3 now opens with 3.1 Chapter Introduction and Research Onion, Figure 3.1 and Table 3.1 summarising all selected layers.</ns0:t>
            </ns0:r>
          </ns0:p>
        </ns0:tc>
        <ns0:tc>
          <ns0:tcPr>
            <ns0:tcW ns0:type="dxa" ns0:w="1728"/>
            <ns0:vAlign ns0:val="top"/>
            <ns0:shd ns0:fill="F8FBFD"/>
          </ns0:tcPr>
          <ns0:p>
            <ns0:r>
              <ns0:rPr>
                <ns0:sz ns0:val="17"/>
              </ns0:rPr>
              <ns0:t>3.1; Figure 3.1; Table 3.1</ns0:t>
            </ns0:r>
          </ns0:p>
        </ns0:tc>
        <ns0:tc>
          <ns0:tcPr>
            <ns0:tcW ns0:type="dxa" ns0:w="1152"/>
            <ns0:vAlign ns0:val="top"/>
            <ns0:shd ns0:fill="F8FBFD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</ns0:tcPr>
          <ns0:p>
            <ns0:r>
              <ns0:rPr>
                <ns0:sz ns0:val="17"/>
              </ns0:rPr>
              <ns0:t>Philosophy must be justified</ns0:t>
            </ns0:r>
          </ns0:p>
        </ns0:tc>
        <ns0:tc>
          <ns0:tcPr>
            <ns0:tcW ns0:type="dxa" ns0:w="3168"/>
            <ns0:vAlign ns0:val="top"/>
          </ns0:tcPr>
          <ns0:p>
            <ns0:r>
              <ns0:rPr>
                <ns0:sz ns0:val="17"/>
              </ns0:rPr>
              <ns0:t>Use the selected philosophical position consistently and explain why it fits the project.</ns0:t>
            </ns0:r>
          </ns0:p>
        </ns0:tc>
        <ns0:tc>
          <ns0:tcPr>
            <ns0:tcW ns0:type="dxa" ns0:w="4320"/>
            <ns0:vAlign ns0:val="top"/>
          </ns0:tcPr>
          <ns0:p>
            <ns0:r>
              <ns0:rPr>
                <ns0:sz ns0:val="17"/>
              </ns0:rPr>
              <ns0:t>Pragmatism is used consistently because the project addresses an applied reporting problem by transforming documentary evidence into measurable variables for decision-oriented statistical analysis.</ns0:t>
            </ns0:r>
          </ns0:p>
        </ns0:tc>
        <ns0:tc>
          <ns0:tcPr>
            <ns0:tcW ns0:type="dxa" ns0:w="1728"/>
            <ns0:vAlign ns0:val="top"/>
          </ns0:tcPr>
          <ns0:p>
            <ns0:r>
              <ns0:rPr>
                <ns0:sz ns0:val="17"/>
              </ns0:rPr>
              <ns0:t>3.2</ns0:t>
            </ns0:r>
          </ns0:p>
        </ns0:tc>
        <ns0:tc>
          <ns0:tcPr>
            <ns0:tcW ns0:type="dxa" ns0:w="1152"/>
            <ns0:vAlign ns0:val="top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  <ns0:shd ns0:fill="F8FBFD"/>
          </ns0:tcPr>
          <ns0:p>
            <ns0:r>
              <ns0:rPr>
                <ns0:sz ns0:val="17"/>
              </ns0:rPr>
              <ns0:t>Go layer by layer</ns0:t>
            </ns0:r>
          </ns0:p>
        </ns0:tc>
        <ns0:tc>
          <ns0:tcPr>
            <ns0:tcW ns0:type="dxa" ns0:w="3168"/>
            <ns0:vAlign ns0:val="top"/>
            <ns0:shd ns0:fill="F8FBFD"/>
          </ns0:tcPr>
          <ns0:p>
            <ns0:r>
              <ns0:rPr>
                <ns0:sz ns0:val="17"/>
              </ns0:rPr>
              <ns0:t>Follow philosophy, approach, methodological choice, strategy, time horizon, data collection and analysis without unnecessary headings.</ns0:t>
            </ns0:r>
          </ns0:p>
        </ns0:tc>
        <ns0:tc>
          <ns0:tcPr>
            <ns0:tcW ns0:type="dxa" ns0:w="4320"/>
            <ns0:vAlign ns0:val="top"/>
            <ns0:shd ns0:fill="F8FBFD"/>
          </ns0:tcPr>
          <ns0:p>
            <ns0:r>
              <ns0:rPr>
                <ns0:sz ns0:val="17"/>
              </ns0:rPr>
              <ns0:t>Chapter 3 is reorganised to follow the Research Onion sequence and uses standard methods terminology.</ns0:t>
            </ns0:r>
          </ns0:p>
        </ns0:tc>
        <ns0:tc>
          <ns0:tcPr>
            <ns0:tcW ns0:type="dxa" ns0:w="1728"/>
            <ns0:vAlign ns0:val="top"/>
            <ns0:shd ns0:fill="F8FBFD"/>
          </ns0:tcPr>
          <ns0:p>
            <ns0:r>
              <ns0:rPr>
                <ns0:sz ns0:val="17"/>
              </ns0:rPr>
              <ns0:t>3.1–3.10</ns0:t>
            </ns0:r>
          </ns0:p>
        </ns0:tc>
        <ns0:tc>
          <ns0:tcPr>
            <ns0:tcW ns0:type="dxa" ns0:w="1152"/>
            <ns0:vAlign ns0:val="top"/>
            <ns0:shd ns0:fill="F8FBFD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</ns0:tcPr>
          <ns0:p>
            <ns0:r>
              <ns0:rPr>
                <ns0:sz ns0:val="17"/>
              </ns0:rPr>
              <ns0:t>“Corpus construction” terminology questioned</ns0:t>
            </ns0:r>
          </ns0:p>
        </ns0:tc>
        <ns0:tc>
          <ns0:tcPr>
            <ns0:tcW ns0:type="dxa" ns0:w="3168"/>
            <ns0:vAlign ns0:val="top"/>
          </ns0:tcPr>
          <ns0:p>
            <ns0:r>
              <ns0:rPr>
                <ns0:sz ns0:val="17"/>
              </ns0:rPr>
              <ns0:t>Use clear sampling terminology and explain how firms/reports were selected.</ns0:t>
            </ns0:r>
          </ns0:p>
        </ns0:tc>
        <ns0:tc>
          <ns0:tcPr>
            <ns0:tcW ns0:type="dxa" ns0:w="4320"/>
            <ns0:vAlign ns0:val="top"/>
          </ns0:tcPr>
          <ns0:p>
            <ns0:r>
              <ns0:rPr>
                <ns0:sz ns0:val="17"/>
              </ns0:rPr>
              <ns0:t>Replaced with time horizon, sample and data collection; explains FTSE 350 frame, TCFD groups, market-capitalisation ranking, 40-firm sample and two reports per firm.</ns0:t>
            </ns0:r>
          </ns0:p>
        </ns0:tc>
        <ns0:tc>
          <ns0:tcPr>
            <ns0:tcW ns0:type="dxa" ns0:w="1728"/>
            <ns0:vAlign ns0:val="top"/>
          </ns0:tcPr>
          <ns0:p>
            <ns0:r>
              <ns0:rPr>
                <ns0:sz ns0:val="17"/>
              </ns0:rPr>
              <ns0:t>3.5</ns0:t>
            </ns0:r>
          </ns0:p>
        </ns0:tc>
        <ns0:tc>
          <ns0:tcPr>
            <ns0:tcW ns0:type="dxa" ns0:w="1152"/>
            <ns0:vAlign ns0:val="top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  <ns0:shd ns0:fill="F8FBFD"/>
          </ns0:tcPr>
          <ns0:p>
            <ns0:r>
              <ns0:rPr>
                <ns0:sz ns0:val="17"/>
              </ns0:rPr>
              <ns0:t>“Evidence management” not an Onion layer</ns0:t>
            </ns0:r>
          </ns0:p>
        </ns0:tc>
        <ns0:tc>
          <ns0:tcPr>
            <ns0:tcW ns0:type="dxa" ns0:w="3168"/>
            <ns0:vAlign ns0:val="top"/>
            <ns0:shd ns0:fill="F8FBFD"/>
          </ns0:tcPr>
          <ns0:p>
            <ns0:r>
              <ns0:rPr>
                <ns0:sz ns0:val="17"/>
              </ns0:rPr>
              <ns0:t>Do not present evidence management as a methodology layer; position provenance inside data collection/reproducibility.</ns0:t>
            </ns0:r>
          </ns0:p>
        </ns0:tc>
        <ns0:tc>
          <ns0:tcPr>
            <ns0:tcW ns0:type="dxa" ns0:w="4320"/>
            <ns0:vAlign ns0:val="top"/>
            <ns0:shd ns0:fill="F8FBFD"/>
          </ns0:tcPr>
          <ns0:p>
            <ns0:r>
              <ns0:rPr>
                <ns0:sz ns0:val="17"/>
              </ns0:rPr>
              <ns0:t>Provenance, report IDs, page references and SHA-256 hashes are described within data collection and reliability/reproducibility.</ns0:t>
            </ns0:r>
          </ns0:p>
        </ns0:tc>
        <ns0:tc>
          <ns0:tcPr>
            <ns0:tcW ns0:type="dxa" ns0:w="1728"/>
            <ns0:vAlign ns0:val="top"/>
            <ns0:shd ns0:fill="F8FBFD"/>
          </ns0:tcPr>
          <ns0:p>
            <ns0:r>
              <ns0:rPr>
                <ns0:sz ns0:val="17"/>
              </ns0:rPr>
              <ns0:t>3.5; 3.8</ns0:t>
            </ns0:r>
          </ns0:p>
        </ns0:tc>
        <ns0:tc>
          <ns0:tcPr>
            <ns0:tcW ns0:type="dxa" ns0:w="1152"/>
            <ns0:vAlign ns0:val="top"/>
            <ns0:shd ns0:fill="F8FBFD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</ns0:tcPr>
          <ns0:p>
            <ns0:r>
              <ns0:rPr>
                <ns0:sz ns0:val="17"/>
              </ns0:rPr>
              <ns0:t>Quantitative vs thematic contradiction</ns0:t>
            </ns0:r>
          </ns0:p>
        </ns0:tc>
        <ns0:tc>
          <ns0:tcPr>
            <ns0:tcW ns0:type="dxa" ns0:w="3168"/>
            <ns0:vAlign ns0:val="top"/>
          </ns0:tcPr>
          <ns0:p>
            <ns0:r>
              <ns0:rPr>
                <ns0:sz ns0:val="17"/>
              </ns0:rPr>
              <ns0:t>Clarify whether the study is quantitative, qualitative or mixed; do not imply thematic analysis if it was not conducted.</ns0:t>
            </ns0:r>
          </ns0:p>
        </ns0:tc>
        <ns0:tc>
          <ns0:tcPr>
            <ns0:tcW ns0:type="dxa" ns0:w="4320"/>
            <ns0:vAlign ns0:val="top"/>
          </ns0:tcPr>
          <ns0:p>
            <ns0:r>
              <ns0:rPr>
                <ns0:sz ns0:val="17"/>
              </ns0:rPr>
              <ns0:t>Method is explicitly defined as mono-method quantitative using deductive quantitative content analysis with predetermined 0–2 scoring criteria. The dissertation states that no inductive thematic analysis was performed.</ns0:t>
            </ns0:r>
          </ns0:p>
        </ns0:tc>
        <ns0:tc>
          <ns0:tcPr>
            <ns0:tcW ns0:type="dxa" ns0:w="1728"/>
            <ns0:vAlign ns0:val="top"/>
          </ns0:tcPr>
          <ns0:p>
            <ns0:r>
              <ns0:rPr>
                <ns0:sz ns0:val="17"/>
              </ns0:rPr>
              <ns0:t>3.4; 3.6</ns0:t>
            </ns0:r>
          </ns0:p>
        </ns0:tc>
        <ns0:tc>
          <ns0:tcPr>
            <ns0:tcW ns0:type="dxa" ns0:w="1152"/>
            <ns0:vAlign ns0:val="top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  <ns0:shd ns0:fill="F8FBFD"/>
          </ns0:tcPr>
          <ns0:p>
            <ns0:r>
              <ns0:rPr>
                <ns0:sz ns0:val="17"/>
              </ns0:rPr>
              <ns0:t>Explain coding/scoring</ns0:t>
            </ns0:r>
          </ns0:p>
        </ns0:tc>
        <ns0:tc>
          <ns0:tcPr>
            <ns0:tcW ns0:type="dxa" ns0:w="3168"/>
            <ns0:vAlign ns0:val="top"/>
            <ns0:shd ns0:fill="F8FBFD"/>
          </ns0:tcPr>
          <ns0:p>
            <ns0:r>
              <ns0:rPr>
                <ns0:sz ns0:val="17"/>
              </ns0:rPr>
              <ns0:t>Explain what was actually done to annual reports and why.</ns0:t>
            </ns0:r>
          </ns0:p>
        </ns0:tc>
        <ns0:tc>
          <ns0:tcPr>
            <ns0:tcW ns0:type="dxa" ns0:w="4320"/>
            <ns0:vAlign ns0:val="top"/>
            <ns0:shd ns0:fill="F8FBFD"/>
          </ns0:tcPr>
          <ns0:p>
            <ns0:r>
              <ns0:rPr>
                <ns0:sz ns0:val="17"/>
              </ns0:rPr>
              <ns0:t>The terminology is now “CFCQI scoring procedure”: 12 predetermined dimensions, full-report review, 0/1/2 decision rules, evidence trace and 0–100 standardisation.</ns0:t>
            </ns0:r>
          </ns0:p>
        </ns0:tc>
        <ns0:tc>
          <ns0:tcPr>
            <ns0:tcW ns0:type="dxa" ns0:w="1728"/>
            <ns0:vAlign ns0:val="top"/>
            <ns0:shd ns0:fill="F8FBFD"/>
          </ns0:tcPr>
          <ns0:p>
            <ns0:r>
              <ns0:rPr>
                <ns0:sz ns0:val="17"/>
              </ns0:rPr>
              <ns0:t>3.6; Appendix B</ns0:t>
            </ns0:r>
          </ns0:p>
        </ns0:tc>
        <ns0:tc>
          <ns0:tcPr>
            <ns0:tcW ns0:type="dxa" ns0:w="1152"/>
            <ns0:vAlign ns0:val="top"/>
            <ns0:shd ns0:fill="F8FBFD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</ns0:tcPr>
          <ns0:p>
            <ns0:r>
              <ns0:rPr>
                <ns0:sz ns0:val="17"/>
              </ns0:rPr>
              <ns0:t>Equal weighting questioned</ns0:t>
            </ns0:r>
          </ns0:p>
        </ns0:tc>
        <ns0:tc>
          <ns0:tcPr>
            <ns0:tcW ns0:type="dxa" ns0:w="3168"/>
            <ns0:vAlign ns0:val="top"/>
          </ns0:tcPr>
          <ns0:p>
            <ns0:r>
              <ns0:rPr>
                <ns0:sz ns0:val="17"/>
              </ns0:rPr>
              <ns0:t>Explain why all index dimensions have equal weight and support the choice.</ns0:t>
            </ns0:r>
          </ns0:p>
        </ns0:tc>
        <ns0:tc>
          <ns0:tcPr>
            <ns0:tcW ns0:type="dxa" ns0:w="4320"/>
            <ns0:vAlign ns0:val="top"/>
          </ns0:tcPr>
          <ns0:p>
            <ns0:r>
              <ns0:rPr>
                <ns0:sz ns0:val="17"/>
              </ns0:rPr>
              <ns0:t>Equal weighting is justified as transparent and reproducible because no validated regulatory/empirical basis exists for differential weights; post-hoc outcome-driven weighting is avoided.</ns0:t>
            </ns0:r>
          </ns0:p>
        </ns0:tc>
        <ns0:tc>
          <ns0:tcPr>
            <ns0:tcW ns0:type="dxa" ns0:w="1728"/>
            <ns0:vAlign ns0:val="top"/>
          </ns0:tcPr>
          <ns0:p>
            <ns0:r>
              <ns0:rPr>
                <ns0:sz ns0:val="17"/>
              </ns0:rPr>
              <ns0:t>3.6</ns0:t>
            </ns0:r>
          </ns0:p>
        </ns0:tc>
        <ns0:tc>
          <ns0:tcPr>
            <ns0:tcW ns0:type="dxa" ns0:w="1152"/>
            <ns0:vAlign ns0:val="top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  <ns0:shd ns0:fill="F8FBFD"/>
          </ns0:tcPr>
          <ns0:p>
            <ns0:r>
              <ns0:rPr>
                <ns0:sz ns0:val="17"/>
              </ns0:rPr>
              <ns0:t>Variables need explanation</ns0:t>
            </ns0:r>
          </ns0:p>
        </ns0:tc>
        <ns0:tc>
          <ns0:tcPr>
            <ns0:tcW ns0:type="dxa" ns0:w="3168"/>
            <ns0:vAlign ns0:val="top"/>
            <ns0:shd ns0:fill="F8FBFD"/>
          </ns0:tcPr>
          <ns0:p>
            <ns0:r>
              <ns0:rPr>
                <ns0:sz ns0:val="17"/>
              </ns0:rPr>
              <ns0:t>Define construction, unit, rationale and role of every variable.</ns0:t>
            </ns0:r>
          </ns0:p>
        </ns0:tc>
        <ns0:tc>
          <ns0:tcPr>
            <ns0:tcW ns0:type="dxa" ns0:w="4320"/>
            <ns0:vAlign ns0:val="top"/>
            <ns0:shd ns0:fill="F8FBFD"/>
          </ns0:tcPr>
          <ns0:p>
            <ns0:r>
              <ns0:rPr>
                <ns0:sz ns0:val="17"/>
              </ns0:rPr>
              <ns0:t>Table 3.2 defines CFCQI, firm size, external assurance, board oversight, leverage, ROA, TCFD group and cycle; text explains measurement and rationale.</ns0:t>
            </ns0:r>
          </ns0:p>
        </ns0:tc>
        <ns0:tc>
          <ns0:tcPr>
            <ns0:tcW ns0:type="dxa" ns0:w="1728"/>
            <ns0:vAlign ns0:val="top"/>
            <ns0:shd ns0:fill="F8FBFD"/>
          </ns0:tcPr>
          <ns0:p>
            <ns0:r>
              <ns0:rPr>
                <ns0:sz ns0:val="17"/>
              </ns0:rPr>
              <ns0:t>3.6; Table 3.2</ns0:t>
            </ns0:r>
          </ns0:p>
        </ns0:tc>
        <ns0:tc>
          <ns0:tcPr>
            <ns0:tcW ns0:type="dxa" ns0:w="1152"/>
            <ns0:vAlign ns0:val="top"/>
            <ns0:shd ns0:fill="F8FBFD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</ns0:tcPr>
          <ns0:p>
            <ns0:r>
              <ns0:rPr>
                <ns0:sz ns0:val="17"/>
              </ns0:rPr>
              <ns0:t>Abbreviations must be understood</ns0:t>
            </ns0:r>
          </ns0:p>
        </ns0:tc>
        <ns0:tc>
          <ns0:tcPr>
            <ns0:tcW ns0:type="dxa" ns0:w="3168"/>
            <ns0:vAlign ns0:val="top"/>
          </ns0:tcPr>
          <ns0:p>
            <ns0:r>
              <ns0:rPr>
                <ns0:sz ns0:val="17"/>
              </ns0:rPr>
              <ns0:t>Expand unfamiliar short forms such as FY and define dataset terminology.</ns0:t>
            </ns0:r>
          </ns0:p>
        </ns0:tc>
        <ns0:tc>
          <ns0:tcPr>
            <ns0:tcW ns0:type="dxa" ns0:w="4320"/>
            <ns0:vAlign ns0:val="top"/>
          </ns0:tcPr>
          <ns0:p>
            <ns0:r>
              <ns0:rPr>
                <ns0:sz ns0:val="17"/>
              </ns0:rPr>
              <ns0:t>Full terms are given at first substantive use for TCFD, ISSB, UK SRS, CFCQI, TBL, FY, GBP, ROA, OLS, VIF, HC3, SHA-256, UK GDPR, ESG and FX; list of abbreviations included.</ns0:t>
            </ns0:r>
          </ns0:p>
        </ns0:tc>
        <ns0:tc>
          <ns0:tcPr>
            <ns0:tcW ns0:type="dxa" ns0:w="1728"/>
            <ns0:vAlign ns0:val="top"/>
          </ns0:tcPr>
          <ns0:p>
            <ns0:r>
              <ns0:rPr>
                <ns0:sz ns0:val="17"/>
              </ns0:rPr>
              <ns0:t>Throughout; List of Abbreviations</ns0:t>
            </ns0:r>
          </ns0:p>
        </ns0:tc>
        <ns0:tc>
          <ns0:tcPr>
            <ns0:tcW ns0:type="dxa" ns0:w="1152"/>
            <ns0:vAlign ns0:val="top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  <ns0:shd ns0:fill="F8FBFD"/>
          </ns0:tcPr>
          <ns0:p>
            <ns0:r>
              <ns0:rPr>
                <ns0:sz ns0:val="17"/>
              </ns0:rPr>
              <ns0:t>15% second-scoring procedure challenged</ns0:t>
            </ns0:r>
          </ns0:p>
        </ns0:tc>
        <ns0:tc>
          <ns0:tcPr>
            <ns0:tcW ns0:type="dxa" ns0:w="3168"/>
            <ns0:vAlign ns0:val="top"/>
            <ns0:shd ns0:fill="F8FBFD"/>
          </ns0:tcPr>
          <ns0:p>
            <ns0:r>
              <ns0:rPr>
                <ns0:sz ns0:val="17"/>
              </ns0:rPr>
              <ns0:t>Do not imply an unsupported qualitative/thematic or human inter-coder exercise; describe only documented activity.</ns0:t>
            </ns0:r>
          </ns0:p>
        </ns0:tc>
        <ns0:tc>
          <ns0:tcPr>
            <ns0:tcW ns0:type="dxa" ns0:w="4320"/>
            <ns0:vAlign ns0:val="top"/>
            <ns0:shd ns0:fill="F8FBFD"/>
          </ns0:tcPr>
          <ns0:p>
            <ns0:r>
              <ns0:rPr>
                <ns0:sz ns0:val="17"/>
              </ns0:rPr>
              <ns0:t>Twelve reports (15%) were repeat-scored through a separate scoring workflow that did not use the first-pass scores. It is reported as a scoring-stability/reproducibility check, not proof of human inter-coder agreement.</ns0:t>
            </ns0:r>
          </ns0:p>
        </ns0:tc>
        <ns0:tc>
          <ns0:tcPr>
            <ns0:tcW ns0:type="dxa" ns0:w="1728"/>
            <ns0:vAlign ns0:val="top"/>
            <ns0:shd ns0:fill="F8FBFD"/>
          </ns0:tcPr>
          <ns0:p>
            <ns0:r>
              <ns0:rPr>
                <ns0:sz ns0:val="17"/>
              </ns0:rPr>
              <ns0:t>3.8; 4.2; Appendix C</ns0:t>
            </ns0:r>
          </ns0:p>
        </ns0:tc>
        <ns0:tc>
          <ns0:tcPr>
            <ns0:tcW ns0:type="dxa" ns0:w="1152"/>
            <ns0:vAlign ns0:val="top"/>
            <ns0:shd ns0:fill="F8FBFD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</ns0:tcPr>
          <ns0:p>
            <ns0:r>
              <ns0:rPr>
                <ns0:sz ns0:val="17"/>
              </ns0:rPr>
              <ns0:t>Hypotheses need methodological alignment</ns0:t>
            </ns0:r>
          </ns0:p>
        </ns0:tc>
        <ns0:tc>
          <ns0:tcPr>
            <ns0:tcW ns0:type="dxa" ns0:w="3168"/>
            <ns0:vAlign ns0:val="top"/>
          </ns0:tcPr>
          <ns0:p>
            <ns0:r>
              <ns0:rPr>
                <ns0:sz ns0:val="17"/>
              </ns0:rPr>
              <ns0:t>Retain hypotheses only if conceptually justified and testable by the chosen method.</ns0:t>
            </ns0:r>
          </ns0:p>
        </ns0:tc>
        <ns0:tc>
          <ns0:tcPr>
            <ns0:tcW ns0:type="dxa" ns0:w="4320"/>
            <ns0:vAlign ns0:val="top"/>
          </ns0:tcPr>
          <ns0:p>
            <ns0:r>
              <ns0:rPr>
                <ns0:sz ns0:val="17"/>
              </ns0:rPr>
              <ns0:t>Each predictor is justified from literature; pooled OLS estimates the corresponding coefficient while controls and robust inference are specified in advance.</ns0:t>
            </ns0:r>
          </ns0:p>
        </ns0:tc>
        <ns0:tc>
          <ns0:tcPr>
            <ns0:tcW ns0:type="dxa" ns0:w="1728"/>
            <ns0:vAlign ns0:val="top"/>
          </ns0:tcPr>
          <ns0:p>
            <ns0:r>
              <ns0:rPr>
                <ns0:sz ns0:val="17"/>
              </ns0:rPr>
              <ns0:t>2.5; 3.6–3.7</ns0:t>
            </ns0:r>
          </ns0:p>
        </ns0:tc>
        <ns0:tc>
          <ns0:tcPr>
            <ns0:tcW ns0:type="dxa" ns0:w="1152"/>
            <ns0:vAlign ns0:val="top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  <ns0:shd ns0:fill="F8FBFD"/>
          </ns0:tcPr>
          <ns0:p>
            <ns0:r>
              <ns0:rPr>
                <ns0:sz ns0:val="17"/>
              </ns0:rPr>
              <ns0:t>Missing H0 and H1</ns0:t>
            </ns0:r>
          </ns0:p>
        </ns0:tc>
        <ns0:tc>
          <ns0:tcPr>
            <ns0:tcW ns0:type="dxa" ns0:w="3168"/>
            <ns0:vAlign ns0:val="top"/>
            <ns0:shd ns0:fill="F8FBFD"/>
          </ns0:tcPr>
          <ns0:p>
            <ns0:r>
              <ns0:rPr>
                <ns0:sz ns0:val="17"/>
              </ns0:rPr>
              <ns0:t>State both null and alternative hypotheses for every test.</ns0:t>
            </ns0:r>
          </ns0:p>
        </ns0:tc>
        <ns0:tc>
          <ns0:tcPr>
            <ns0:tcW ns0:type="dxa" ns0:w="4320"/>
            <ns0:vAlign ns0:val="top"/>
            <ns0:shd ns0:fill="F8FBFD"/>
          </ns0:tcPr>
          <ns0:p>
            <ns0:r>
              <ns0:rPr>
                <ns0:sz ns0:val="17"/>
              </ns0:rPr>
              <ns0:t>Table 3.3 contains H01/H11 for size, H02/H12 for assurance and H03/H13 for board oversight; Chapter 4 reports reject/fail-to-reject decisions.</ns0:t>
            </ns0:r>
          </ns0:p>
        </ns0:tc>
        <ns0:tc>
          <ns0:tcPr>
            <ns0:tcW ns0:type="dxa" ns0:w="1728"/>
            <ns0:vAlign ns0:val="top"/>
            <ns0:shd ns0:fill="F8FBFD"/>
          </ns0:tcPr>
          <ns0:p>
            <ns0:r>
              <ns0:rPr>
                <ns0:sz ns0:val="17"/>
              </ns0:rPr>
              <ns0:t>3.6 Table 3.3; 4.4</ns0:t>
            </ns0:r>
          </ns0:p>
        </ns0:tc>
        <ns0:tc>
          <ns0:tcPr>
            <ns0:tcW ns0:type="dxa" ns0:w="1152"/>
            <ns0:vAlign ns0:val="top"/>
            <ns0:shd ns0:fill="F8FBFD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</ns0:tcPr>
          <ns0:p>
            <ns0:r>
              <ns0:rPr>
                <ns0:sz ns0:val="17"/>
              </ns0:rPr>
              <ns0:t>Explain purpose of statistical procedures</ns0:t>
            </ns0:r>
          </ns0:p>
        </ns0:tc>
        <ns0:tc>
          <ns0:tcPr>
            <ns0:tcW ns0:type="dxa" ns0:w="3168"/>
            <ns0:vAlign ns0:val="top"/>
          </ns0:tcPr>
          <ns0:p>
            <ns0:r>
              <ns0:rPr>
                <ns0:sz ns0:val="17"/>
              </ns0:rPr>
              <ns0:t>Explain how each analysis contributes to later findings.</ns0:t>
            </ns0:r>
          </ns0:p>
        </ns0:tc>
        <ns0:tc>
          <ns0:tcPr>
            <ns0:tcW ns0:type="dxa" ns0:w="4320"/>
            <ns0:vAlign ns0:val="top"/>
          </ns0:tcPr>
          <ns0:p>
            <ns0:r>
              <ns0:rPr>
                <ns0:sz ns0:val="17"/>
              </ns0:rPr>
              <ns0:t>Descriptives establish level/pattern; OLS evaluates organisational associations; diagnostics test model behaviour; sensitivity analysis tests robustness; paired tests evaluate reporting-cycle change.</ns0:t>
            </ns0:r>
          </ns0:p>
        </ns0:tc>
        <ns0:tc>
          <ns0:tcPr>
            <ns0:tcW ns0:type="dxa" ns0:w="1728"/>
            <ns0:vAlign ns0:val="top"/>
          </ns0:tcPr>
          <ns0:p>
            <ns0:r>
              <ns0:rPr>
                <ns0:sz ns0:val="17"/>
              </ns0:rPr>
              <ns0:t>3.7</ns0:t>
            </ns0:r>
          </ns0:p>
        </ns0:tc>
        <ns0:tc>
          <ns0:tcPr>
            <ns0:tcW ns0:type="dxa" ns0:w="1152"/>
            <ns0:vAlign ns0:val="top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  <ns0:shd ns0:fill="F8FBFD"/>
          </ns0:tcPr>
          <ns0:p>
            <ns0:r>
              <ns0:rPr>
                <ns0:sz ns0:val="17"/>
              </ns0:rPr>
              <ns0:t>40-company sample must be defensible</ns0:t>
            </ns0:r>
          </ns0:p>
        </ns0:tc>
        <ns0:tc>
          <ns0:tcPr>
            <ns0:tcW ns0:type="dxa" ns0:w="3168"/>
            <ns0:vAlign ns0:val="top"/>
            <ns0:shd ns0:fill="F8FBFD"/>
          </ns0:tcPr>
          <ns0:p>
            <ns0:r>
              <ns0:rPr>
                <ns0:sz ns0:val="17"/>
              </ns0:rPr>
              <ns0:t>Make the sample structure and underlying data understandable.</ns0:t>
            </ns0:r>
          </ns0:p>
        </ns0:tc>
        <ns0:tc>
          <ns0:tcPr>
            <ns0:tcW ns0:type="dxa" ns0:w="4320"/>
            <ns0:vAlign ns0:val="top"/>
            <ns0:shd ns0:fill="F8FBFD"/>
          </ns0:tcPr>
          <ns0:p>
            <ns0:r>
              <ns0:rPr>
                <ns0:sz ns0:val="17"/>
              </ns0:rPr>
              <ns0:t>Sample selection, sector allocation, market-capitalisation basis, two-cycle structure, eligibility cut-off and sample-freeze timing are disclosed; final sample appears in Appendix A.</ns0:t>
            </ns0:r>
          </ns0:p>
        </ns0:tc>
        <ns0:tc>
          <ns0:tcPr>
            <ns0:tcW ns0:type="dxa" ns0:w="1728"/>
            <ns0:vAlign ns0:val="top"/>
            <ns0:shd ns0:fill="F8FBFD"/>
          </ns0:tcPr>
          <ns0:p>
            <ns0:r>
              <ns0:rPr>
                <ns0:sz ns0:val="17"/>
              </ns0:rPr>
              <ns0:t>3.5; Appendix A</ns0:t>
            </ns0:r>
          </ns0:p>
        </ns0:tc>
        <ns0:tc>
          <ns0:tcPr>
            <ns0:tcW ns0:type="dxa" ns0:w="1152"/>
            <ns0:vAlign ns0:val="top"/>
            <ns0:shd ns0:fill="F8FBFD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</ns0:tcPr>
          <ns0:p>
            <ns0:r>
              <ns0:rPr>
                <ns0:sz ns0:val="17"/>
              </ns0:rPr>
              <ns0:t>Code should be understandable</ns0:t>
            </ns0:r>
          </ns0:p>
        </ns0:tc>
        <ns0:tc>
          <ns0:tcPr>
            <ns0:tcW ns0:type="dxa" ns0:w="3168"/>
            <ns0:vAlign ns0:val="top"/>
          </ns0:tcPr>
          <ns0:p>
            <ns0:r>
              <ns0:rPr>
                <ns0:sz ns0:val="17"/>
              </ns0:rPr>
              <ns0:t>Analytical code needs explanatory comments and reproducibility.</ns0:t>
            </ns0:r>
          </ns0:p>
        </ns0:tc>
        <ns0:tc>
          <ns0:tcPr>
            <ns0:tcW ns0:type="dxa" ns0:w="4320"/>
            <ns0:vAlign ns0:val="top"/>
          </ns0:tcPr>
          <ns0:p>
            <ns0:r>
              <ns0:rPr>
                <ns0:sz ns0:val="17"/>
              </ns0:rPr>
              <ns0:t>Technical package includes commented Python scripts, locked datasets, codebook, validation outputs, evidence files and robustness scripts.</ns0:t>
            </ns0:r>
          </ns0:p>
        </ns0:tc>
        <ns0:tc>
          <ns0:tcPr>
            <ns0:tcW ns0:type="dxa" ns0:w="1728"/>
            <ns0:vAlign ns0:val="top"/>
          </ns0:tcPr>
          <ns0:p>
            <ns0:r>
              <ns0:rPr>
                <ns0:sz ns0:val="17"/>
              </ns0:rPr>
              <ns0:t>3.8; Appendix F; technical project package</ns0:t>
            </ns0:r>
          </ns0:p>
        </ns0:tc>
        <ns0:tc>
          <ns0:tcPr>
            <ns0:tcW ns0:type="dxa" ns0:w="1152"/>
            <ns0:vAlign ns0:val="top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  <ns0:shd ns0:fill="F8FBFD"/>
          </ns0:tcPr>
          <ns0:p>
            <ns0:r>
              <ns0:rPr>
                <ns0:sz ns0:val="17"/>
              </ns0:rPr>
              <ns0:t>Everything must align</ns0:t>
            </ns0:r>
          </ns0:p>
        </ns0:tc>
        <ns0:tc>
          <ns0:tcPr>
            <ns0:tcW ns0:type="dxa" ns0:w="3168"/>
            <ns0:vAlign ns0:val="top"/>
            <ns0:shd ns0:fill="F8FBFD"/>
          </ns0:tcPr>
          <ns0:p>
            <ns0:r>
              <ns0:rPr>
                <ns0:sz ns0:val="17"/>
              </ns0:rPr>
              <ns0:t>Aim, objectives, questions, hypotheses, variables, methods, findings and conclusions must correspond.</ns0:t>
            </ns0:r>
          </ns0:p>
        </ns0:tc>
        <ns0:tc>
          <ns0:tcPr>
            <ns0:tcW ns0:type="dxa" ns0:w="4320"/>
            <ns0:vAlign ns0:val="top"/>
            <ns0:shd ns0:fill="F8FBFD"/>
          </ns0:tcPr>
          <ns0:p>
            <ns0:r>
              <ns0:rPr>
                <ns0:sz ns0:val="17"/>
              </ns0:rPr>
              <ns0:t>Objective/RQ mapping is explicit across Chapters 1, 3, 4, 5 and 6; RQ answers are reserved for discussion/conclusion rather than methodology.</ns0:t>
            </ns0:r>
          </ns0:p>
        </ns0:tc>
        <ns0:tc>
          <ns0:tcPr>
            <ns0:tcW ns0:type="dxa" ns0:w="1728"/>
            <ns0:vAlign ns0:val="top"/>
            <ns0:shd ns0:fill="F8FBFD"/>
          </ns0:tcPr>
          <ns0:p>
            <ns0:r>
              <ns0:rPr>
                <ns0:sz ns0:val="17"/>
              </ns0:rPr>
              <ns0:t>1.4–1.5; 3.7; Chapters 4–6</ns0:t>
            </ns0:r>
          </ns0:p>
        </ns0:tc>
        <ns0:tc>
          <ns0:tcPr>
            <ns0:tcW ns0:type="dxa" ns0:w="1152"/>
            <ns0:vAlign ns0:val="top"/>
            <ns0:shd ns0:fill="F8FBFD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</ns0:tcPr>
          <ns0:p>
            <ns0:r>
              <ns0:rPr>
                <ns0:sz ns0:val="17"/>
              </ns0:rPr>
              <ns0:t>Student must understand/defend the paper</ns0:t>
            </ns0:r>
          </ns0:p>
        </ns0:tc>
        <ns0:tc>
          <ns0:tcPr>
            <ns0:tcW ns0:type="dxa" ns0:w="3168"/>
            <ns0:vAlign ns0:val="top"/>
          </ns0:tcPr>
          <ns0:p>
            <ns0:r>
              <ns0:rPr>
                <ns0:sz ns0:val="17"/>
              </ns0:rPr>
              <ns0:t>The document should make sense and be explainable in a meeting.</ns0:t>
            </ns0:r>
          </ns0:p>
        </ns0:tc>
        <ns0:tc>
          <ns0:tcPr>
            <ns0:tcW ns0:type="dxa" ns0:w="4320"/>
            <ns0:vAlign ns0:val="top"/>
          </ns0:tcPr>
          <ns0:p>
            <ns0:r>
              <ns0:rPr>
                <ns0:sz ns0:val="17"/>
              </ns0:rPr>
              <ns0:t>A separate Student Research and Defence Notes document explains the Research Onion, CFCQI, variables, H0/H1, tests, diagnostics, reliability and all headline results in plain language.</ns0:t>
            </ns0:r>
          </ns0:p>
        </ns0:tc>
        <ns0:tc>
          <ns0:tcPr>
            <ns0:tcW ns0:type="dxa" ns0:w="1728"/>
            <ns0:vAlign ns0:val="top"/>
          </ns0:tcPr>
          <ns0:p>
            <ns0:r>
              <ns0:rPr>
                <ns0:sz ns0:val="17"/>
              </ns0:rPr>
              <ns0:t>Companion notes</ns0:t>
            </ns0:r>
          </ns0:p>
        </ns0:tc>
        <ns0:tc>
          <ns0:tcPr>
            <ns0:tcW ns0:type="dxa" ns0:w="1152"/>
            <ns0:vAlign ns0:val="top"/>
          </ns0:tcPr>
          <ns0:p>
            <ns0:r>
              <ns0:rPr>
                <ns0:sz ns0:val="17"/>
              </ns0:rPr>
              <ns0:t>Resolved</ns0:t>
            </ns0:r>
          </ns0:p>
        </ns0:tc>
      </ns0:tr>
      <ns0:tr>
        <ns0:tc>
          <ns0:tcPr>
            <ns0:tcW ns0:type="dxa" ns0:w="2160"/>
            <ns0:vAlign ns0:val="top"/>
            <ns0:shd ns0:fill="F8FBFD"/>
          </ns0:tcPr>
          <ns0:p>
            <ns0:r>
              <ns0:rPr>
                <ns0:sz ns0:val="17"/>
              </ns0:rPr>
              <ns0:t>Earlier comments: chapter introductions, mature paragraphs and placement</ns0:t>
            </ns0:r>
          </ns0:p>
        </ns0:tc>
        <ns0:tc>
          <ns0:tcPr>
            <ns0:tcW ns0:type="dxa" ns0:w="3168"/>
            <ns0:vAlign ns0:val="top"/>
            <ns0:shd ns0:fill="F8FBFD"/>
          </ns0:tcPr>
          <ns0:p>
            <ns0:r>
              <ns0:rPr>
                <ns0:sz ns0:val="17"/>
              </ns0:rPr>
              <ns0:t>Every chapter should have a proper introduction/summary; merge short paragraphs; keep TBL/research gap in Chapter 2; move hypotheses to Chapter 3; limitations to final chapter.</ns0:t>
            </ns0:r>
          </ns0:p>
        </ns0:tc>
        <ns0:tc>
          <ns0:tcPr>
            <ns0:tcW ns0:type="dxa" ns0:w="4320"/>
            <ns0:vAlign ns0:val="top"/>
            <ns0:shd ns0:fill="F8FBFD"/>
          </ns0:tcPr>
          <ns0:p>
            <ns0:r>
              <ns0:rPr>
                <ns0:sz ns0:val="17"/>
              </ns0:rPr>
              <ns0:t>All chapters have introduction and summary; Chapter 2 has developed thematic paragraphs and TBL/gap; hypotheses are in Chapter 3; substantive limitations are in Chapter 6.</ns0:t>
            </ns0:r>
          </ns0:p>
        </ns0:tc>
        <ns0:tc>
          <ns0:tcPr>
            <ns0:tcW ns0:type="dxa" ns0:w="1728"/>
            <ns0:vAlign ns0:val="top"/>
            <ns0:shd ns0:fill="F8FBFD"/>
          </ns0:tcPr>
          <ns0:p>
            <ns0:r>
              <ns0:rPr>
                <ns0:sz ns0:val="17"/>
              </ns0:rPr>
              <ns0:t>Chapters 1–6</ns0:t>
            </ns0:r>
          </ns0:p>
        </ns0:tc>
        <ns0:tc>
          <ns0:tcPr>
            <ns0:tcW ns0:type="dxa" ns0:w="1152"/>
            <ns0:vAlign ns0:val="top"/>
            <ns0:shd ns0:fill="F8FBFD"/>
          </ns0:tcPr>
          <ns0:p>
            <ns0:r>
              <ns0:rPr>
                <ns0:sz ns0:val="17"/>
              </ns0:rPr>
              <ns0:t>Resolved</ns0:t>
            </ns0:r>
          </ns0:p>
        </ns0:tc>
      </ns0:tr>
    </ns0:tbl>
    <ns0:p>
      <ns0:pPr>
        <ns0:pStyle ns0:val="Heading1"/>
      </ns0:pPr>
      <ns0:r>
        <ns0:t>Closure statement</ns0:t>
      </ns0:r>
    </ns0:p>
    <ns0:p>
      <ns0:r>
        <ns0:t>All substantive supervisor comments available in the supplied meeting transcript have been mapped to a visible dissertation change or an accompanying reproducibility/defence document. No unresolved Microsoft Word comments or tracked changes remain in the final dissertation.</ns0:t>
      </ns0:r>
    </ns0:p>
    <ns0:sectPr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ns0="http://schemas.openxmlformats.org/package/2006/metadata/core-properties"/>
</file>