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0"/>
        </w:rPr>
        <w:t>COVENTRY UNIVERSITY</w:t>
      </w:r>
    </w:p>
    <w:p>
      <w:pPr>
        <w:jc w:val="center"/>
      </w:pPr>
      <w:r>
        <w:rPr>
          <w:b/>
          <w:sz w:val="34"/>
        </w:rPr>
        <w:t>Route 1 Exceptional-Band (80–100) Final Audit</w:t>
      </w:r>
    </w:p>
    <w:p>
      <w:pPr>
        <w:jc w:val="center"/>
      </w:pPr>
      <w:r>
        <w:rPr>
          <w:i/>
          <w:sz w:val="21"/>
        </w:rPr>
        <w:t>Mapped against Coventry University 7015SOM marking criteria</w:t>
      </w:r>
    </w:p>
    <w:p>
      <w:pPr>
        <w:jc w:val="center"/>
      </w:pPr>
      <w:r>
        <w:rPr>
          <w:sz w:val="19"/>
        </w:rPr>
        <w:t>Vasu Deva Rao Madireddy | Student ID 16814044 | MSc Business Analytics | 7015SOM</w:t>
      </w:r>
    </w:p>
    <w:p/>
    <w:p>
      <w:r>
        <w:t>The assignment brief defines one Exceptional band covering 80–100. This audit does not predict or guarantee a mark; it checks whether the final dissertation makes each published descriptor visible and defensible.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160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3600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Exceptional expectation</w:t>
            </w:r>
          </w:p>
        </w:tc>
        <w:tc>
          <w:tcPr>
            <w:tcW w:type="dxa" w:w="4896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Evidence in final paper</w:t>
            </w:r>
          </w:p>
        </w:tc>
        <w:tc>
          <w:tcPr>
            <w:tcW w:type="dxa" w:w="1728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152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Audit status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Introduction, research question, aim and objectives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Exceptionally clear, original, Business Analytics aligned; precise, feasible and challenging; convincing scope/rationale/business relevance.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Financial-connectivity problem is distinguished from generic climate disclosure; pre-UK SRS baseline is justified; CFCQI translates unstructured reports into auditable analytical variables; aim, four objectives and three RQs are aligned.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Ch.1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Met</w:t>
            </w:r>
          </w:p>
        </w:tc>
      </w:tr>
      <w:tr>
        <w:tc>
          <w:tcPr>
            <w:tcW w:type="dxa" w:w="2160"/>
            <w:vAlign w:val="top"/>
            <w:shd w:fill="F8FBFD"/>
          </w:tcPr>
          <w:p>
            <w:r>
              <w:rPr>
                <w:sz w:val="17"/>
              </w:rPr>
              <w:t>Literature review</w:t>
            </w:r>
          </w:p>
        </w:tc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Exceptional critical engagement with current academic/practitioner literature; synthesis leads to gap, conceptual direction and analytical focus.</w:t>
            </w:r>
          </w:p>
        </w:tc>
        <w:tc>
          <w:tcPr>
            <w:tcW w:type="dxa" w:w="4896"/>
            <w:vAlign w:val="top"/>
            <w:shd w:fill="F8FBFD"/>
          </w:tcPr>
          <w:p>
            <w:r>
              <w:rPr>
                <w:sz w:val="17"/>
              </w:rPr>
              <w:t>Current academic, regulatory and practitioner evidence is compared rather than listed; tensions around narrative vs quantification, assurance scope, governance and sector/size effects are synthesised; measurement, explanatory and temporal gaps are explicit; TBL gives conceptual direction.</w:t>
            </w:r>
          </w:p>
        </w:tc>
        <w:tc>
          <w:tcPr>
            <w:tcW w:type="dxa" w:w="1728"/>
            <w:vAlign w:val="top"/>
            <w:shd w:fill="F8FBFD"/>
          </w:tcPr>
          <w:p>
            <w:r>
              <w:rPr>
                <w:sz w:val="17"/>
              </w:rPr>
              <w:t>Ch.2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Met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Methodology and ethics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Rigorous, coherent, fully justified; appropriate data/selection/analytical approach; ethics, limitations, reliability, validity and responsible data use comprehensive.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Research Onion is explicit; pragmatist/deductive/mono-quant design justified; quantitative content analysis distinguished from thematic analysis; sample/report rules, CFCQI scoring, equal weighting, variables, H0/H1, OLS/diagnostics/paired tests, reliability, validity, ethics and provenance are documented.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Ch.3; App. A–F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Met</w:t>
            </w:r>
          </w:p>
        </w:tc>
      </w:tr>
      <w:tr>
        <w:tc>
          <w:tcPr>
            <w:tcW w:type="dxa" w:w="2160"/>
            <w:vAlign w:val="top"/>
            <w:shd w:fill="F8FBFD"/>
          </w:tcPr>
          <w:p>
            <w:r>
              <w:rPr>
                <w:sz w:val="17"/>
              </w:rPr>
              <w:t>Findings and analysis</w:t>
            </w:r>
          </w:p>
        </w:tc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Sophisticated, accurate analysis linked to objectives using appropriate Business Analytics; professional tables/figures with clear explanation.</w:t>
            </w:r>
          </w:p>
        </w:tc>
        <w:tc>
          <w:tcPr>
            <w:tcW w:type="dxa" w:w="4896"/>
            <w:vAlign w:val="top"/>
            <w:shd w:fill="F8FBFD"/>
          </w:tcPr>
          <w:p>
            <w:r>
              <w:rPr>
                <w:sz w:val="17"/>
              </w:rPr>
              <w:t>80 reports/960 decisions; reliability; full CFCQI profile; sector/cycle results; cluster-robust OLS with CIs/controls; VIF/Breusch–Pagan/residual/Cook’s diagnostics; HC3 and exclusion sensitivities; Wilcoxon/t/sign tests; complete item-change analysis; publication-quality figures.</w:t>
            </w:r>
          </w:p>
        </w:tc>
        <w:tc>
          <w:tcPr>
            <w:tcW w:type="dxa" w:w="1728"/>
            <w:vAlign w:val="top"/>
            <w:shd w:fill="F8FBFD"/>
          </w:tcPr>
          <w:p>
            <w:r>
              <w:rPr>
                <w:sz w:val="17"/>
              </w:rPr>
              <w:t>Ch.4; Apps C–G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Met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Discussion, conclusions, recommendations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Excellent critical insight; links findings to literature/practice; convincing conclusions; realistic evidence-based recommendations; explicit limitations; near-professional referencing/presentation.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RQ1–RQ3 are interpreted against IFRS S2/UK SRS, academic literature and TBL; statistical vs practical significance and alternative explanations are treated; RQs are directly answered; contribution is separated into academic/methodological/practical; recommendations identify owner/timeframe/KPI; limitations and future research are explicit.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Ch.5–6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Met</w:t>
            </w:r>
          </w:p>
        </w:tc>
      </w:tr>
      <w:tr>
        <w:tc>
          <w:tcPr>
            <w:tcW w:type="dxa" w:w="2160"/>
            <w:vAlign w:val="top"/>
            <w:shd w:fill="F8FBFD"/>
          </w:tcPr>
          <w:p>
            <w:r>
              <w:rPr>
                <w:sz w:val="17"/>
              </w:rPr>
              <w:t>Overall achievement</w:t>
            </w:r>
          </w:p>
        </w:tc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Highly independent, coherent postgraduate work showing analytical judgement, critical thinking and professional academic presentation.</w:t>
            </w:r>
          </w:p>
        </w:tc>
        <w:tc>
          <w:tcPr>
            <w:tcW w:type="dxa" w:w="4896"/>
            <w:vAlign w:val="top"/>
            <w:shd w:fill="F8FBFD"/>
          </w:tcPr>
          <w:p>
            <w:r>
              <w:rPr>
                <w:sz w:val="17"/>
              </w:rPr>
              <w:t>Single coherent argument from problem → gap → theory → methodology → results → discussion → action; verified references; static TOC/lists; abbreviations; appendices; evidence provenance; commented/reproducible technical package; final QA completed.</w:t>
            </w:r>
          </w:p>
        </w:tc>
        <w:tc>
          <w:tcPr>
            <w:tcW w:type="dxa" w:w="1728"/>
            <w:vAlign w:val="top"/>
            <w:shd w:fill="F8FBFD"/>
          </w:tcPr>
          <w:p>
            <w:r>
              <w:rPr>
                <w:sz w:val="17"/>
              </w:rPr>
              <w:t>Whole dissertation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Met</w:t>
            </w:r>
          </w:p>
        </w:tc>
      </w:tr>
    </w:tbl>
    <w:p>
      <w:pPr>
        <w:pStyle w:val="Heading1"/>
      </w:pPr>
      <w:r>
        <w:t>Quantitative QA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488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Final state</w:t>
            </w:r>
          </w:p>
        </w:tc>
        <w:tc>
          <w:tcPr>
            <w:tcW w:type="dxa" w:w="2016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Approved route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Route 1 – Research-based Dissertation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  <w:shd w:fill="F8FBFD"/>
          </w:tcPr>
          <w:p>
            <w:r>
              <w:rPr>
                <w:sz w:val="17"/>
              </w:rPr>
              <w:t>Main sample</w:t>
            </w:r>
          </w:p>
        </w:tc>
        <w:tc>
          <w:tcPr>
            <w:tcW w:type="dxa" w:w="7488"/>
            <w:vAlign w:val="top"/>
            <w:shd w:fill="F8FBFD"/>
          </w:tcPr>
          <w:p>
            <w:r>
              <w:rPr>
                <w:sz w:val="17"/>
              </w:rPr>
              <w:t>40 firms × two reporting cycles = 80 firm-years</w:t>
            </w:r>
          </w:p>
        </w:tc>
        <w:tc>
          <w:tcPr>
            <w:tcW w:type="dxa" w:w="2016"/>
            <w:vAlign w:val="top"/>
            <w:shd w:fill="F8FBFD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Source corpus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80 verified annual reports; 80 unique SHA-256 hashes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  <w:shd w:fill="F8FBFD"/>
          </w:tcPr>
          <w:p>
            <w:r>
              <w:rPr>
                <w:sz w:val="17"/>
              </w:rPr>
              <w:t>CFCQI decisions</w:t>
            </w:r>
          </w:p>
        </w:tc>
        <w:tc>
          <w:tcPr>
            <w:tcW w:type="dxa" w:w="7488"/>
            <w:vAlign w:val="top"/>
            <w:shd w:fill="F8FBFD"/>
          </w:tcPr>
          <w:p>
            <w:r>
              <w:rPr>
                <w:sz w:val="17"/>
              </w:rPr>
              <w:t>960/960 item decisions populated and evidence-traced</w:t>
            </w:r>
          </w:p>
        </w:tc>
        <w:tc>
          <w:tcPr>
            <w:tcW w:type="dxa" w:w="2016"/>
            <w:vAlign w:val="top"/>
            <w:shd w:fill="F8FBFD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Model variables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No missing values in final regression dataset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  <w:shd w:fill="F8FBFD"/>
          </w:tcPr>
          <w:p>
            <w:r>
              <w:rPr>
                <w:sz w:val="17"/>
              </w:rPr>
              <w:t>Reliability</w:t>
            </w:r>
          </w:p>
        </w:tc>
        <w:tc>
          <w:tcPr>
            <w:tcW w:type="dxa" w:w="7488"/>
            <w:vAlign w:val="top"/>
            <w:shd w:fill="F8FBFD"/>
          </w:tcPr>
          <w:p>
            <w:r>
              <w:rPr>
                <w:sz w:val="17"/>
              </w:rPr>
              <w:t>12-report blind scoring-stability check; pooled weighted κ = 0.631</w:t>
            </w:r>
          </w:p>
        </w:tc>
        <w:tc>
          <w:tcPr>
            <w:tcW w:type="dxa" w:w="2016"/>
            <w:vAlign w:val="top"/>
            <w:shd w:fill="F8FBFD"/>
          </w:tcPr>
          <w:p>
            <w:r>
              <w:rPr>
                <w:sz w:val="17"/>
              </w:rPr>
              <w:t>Pass with item-level caveat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RQ2 model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Firm-clustered robust OLS + diagnostics + sensitivity models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  <w:shd w:fill="F8FBFD"/>
          </w:tcPr>
          <w:p>
            <w:r>
              <w:rPr>
                <w:sz w:val="17"/>
              </w:rPr>
              <w:t>RQ3</w:t>
            </w:r>
          </w:p>
        </w:tc>
        <w:tc>
          <w:tcPr>
            <w:tcW w:type="dxa" w:w="7488"/>
            <w:vAlign w:val="top"/>
            <w:shd w:fill="F8FBFD"/>
          </w:tcPr>
          <w:p>
            <w:r>
              <w:rPr>
                <w:sz w:val="17"/>
              </w:rPr>
              <w:t>Latest − Prior; Wilcoxon + t-test + exact sign + exclusions</w:t>
            </w:r>
          </w:p>
        </w:tc>
        <w:tc>
          <w:tcPr>
            <w:tcW w:type="dxa" w:w="2016"/>
            <w:vAlign w:val="top"/>
            <w:shd w:fill="F8FBFD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Review artefacts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0 Word comments; 0 tracked changes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  <w:shd w:fill="F8FBFD"/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7488"/>
            <w:vAlign w:val="top"/>
            <w:shd w:fill="F8FBFD"/>
          </w:tcPr>
          <w:p>
            <w:r>
              <w:rPr>
                <w:sz w:val="17"/>
              </w:rPr>
              <w:t>0 high / 0 medium findings after fixes</w:t>
            </w:r>
          </w:p>
        </w:tc>
        <w:tc>
          <w:tcPr>
            <w:tcW w:type="dxa" w:w="2016"/>
            <w:vAlign w:val="top"/>
            <w:shd w:fill="F8FBFD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Word-count risk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Main report remains below the 10% penalty threshold under the project’s counting convention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Pass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FF2CC"/>
          </w:tcPr>
          <w:p>
            <w:r>
              <w:rPr>
                <w:i/>
              </w:rPr>
              <w:t>A marker retains academic judgement. “Met” means that the published descriptor is explicitly evidenced; it is not a guarantee of a particular numerical mark.</w:t>
            </w:r>
          </w:p>
        </w:tc>
      </w:tr>
    </w:tbl>
    <w:sectPr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ns0="http://schemas.openxmlformats.org/package/2006/metadata/core-properties"/>
</file>