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0"/>
        </w:rPr>
        <w:t>COVENTRY UNIVERSITY</w:t>
      </w:r>
    </w:p>
    <w:p>
      <w:pPr>
        <w:jc w:val="center"/>
      </w:pPr>
      <w:r>
        <w:rPr>
          <w:b/>
          <w:sz w:val="34"/>
        </w:rPr>
        <w:t>Reference Verification Log</w:t>
      </w:r>
    </w:p>
    <w:p>
      <w:pPr>
        <w:jc w:val="center"/>
      </w:pPr>
      <w:r>
        <w:rPr>
          <w:i/>
          <w:sz w:val="21"/>
        </w:rPr>
        <w:t>Final bibliography authenticity and bibliographic-detail check</w:t>
      </w:r>
    </w:p>
    <w:p>
      <w:pPr>
        <w:jc w:val="center"/>
      </w:pPr>
      <w:r>
        <w:rPr>
          <w:sz w:val="19"/>
        </w:rPr>
        <w:t>Vasu Deva Rao Madireddy | Student ID 16814044 | MSc Business Analytics | 7015SOM</w:t>
      </w:r>
    </w:p>
    <w:p/>
    <w:p>
      <w:r>
        <w:t>References were checked against DOI landing pages, journal/publisher records or authoritative organisational websites. Turnitin highlighting is treated only as a warning signal, not as proof of existence or fabrication.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3600"/>
            <w:shd w:fill="2F75B5"/>
            <w:vAlign w:val="top"/>
          </w:tcPr>
          <w:p>
            <w:r>
              <w:rPr>
                <w:b/>
                <w:color w:val="FFFFFF"/>
                <w:sz w:val="17"/>
              </w:rPr>
              <w:t>Reference</w:t>
            </w:r>
          </w:p>
        </w:tc>
        <w:tc>
          <w:tcPr>
            <w:tcW w:type="dxa" w:w="3744"/>
            <w:shd w:fill="2F75B5"/>
            <w:vAlign w:val="top"/>
          </w:tcPr>
          <w:p>
            <w:r>
              <w:rPr>
                <w:b/>
                <w:color w:val="FFFFFF"/>
                <w:sz w:val="17"/>
              </w:rPr>
              <w:t>Identifier/title</w:t>
            </w:r>
          </w:p>
        </w:tc>
        <w:tc>
          <w:tcPr>
            <w:tcW w:type="dxa" w:w="3888"/>
            <w:shd w:fill="2F75B5"/>
            <w:vAlign w:val="top"/>
          </w:tcPr>
          <w:p>
            <w:r>
              <w:rPr>
                <w:b/>
                <w:color w:val="FFFFFF"/>
                <w:sz w:val="17"/>
              </w:rPr>
              <w:t>Verification route</w:t>
            </w:r>
          </w:p>
        </w:tc>
        <w:tc>
          <w:tcPr>
            <w:tcW w:type="dxa" w:w="1152"/>
            <w:shd w:fill="2F75B5"/>
            <w:vAlign w:val="top"/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sz w:val="17"/>
              </w:rPr>
              <w:t>Alqudwa, Parhi &amp; Nguyen (2025)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7"/>
              </w:rPr>
              <w:t>10.1080/23311975.2025.2579663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7"/>
              </w:rPr>
              <w:t>DOI / Taylor &amp; Francis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7"/>
              </w:rPr>
              <w:t>Verified</w:t>
            </w:r>
          </w:p>
        </w:tc>
      </w:tr>
      <w:tr>
        <w:tc>
          <w:tcPr>
            <w:tcW w:type="dxa" w:w="3600"/>
            <w:vAlign w:val="top"/>
            <w:shd w:fill="F8FBFD"/>
          </w:tcPr>
          <w:p>
            <w:r>
              <w:rPr>
                <w:sz w:val="17"/>
              </w:rPr>
              <w:t>Al-Shaer &amp; Zaman (2018)</w:t>
            </w:r>
          </w:p>
        </w:tc>
        <w:tc>
          <w:tcPr>
            <w:tcW w:type="dxa" w:w="3744"/>
            <w:vAlign w:val="top"/>
            <w:shd w:fill="F8FBFD"/>
          </w:tcPr>
          <w:p>
            <w:r>
              <w:rPr>
                <w:sz w:val="17"/>
              </w:rPr>
              <w:t>10.1002/bse.2046</w:t>
            </w:r>
          </w:p>
        </w:tc>
        <w:tc>
          <w:tcPr>
            <w:tcW w:type="dxa" w:w="3888"/>
            <w:vAlign w:val="top"/>
            <w:shd w:fill="F8FBFD"/>
          </w:tcPr>
          <w:p>
            <w:r>
              <w:rPr>
                <w:sz w:val="17"/>
              </w:rPr>
              <w:t>DOI / Wiley</w:t>
            </w:r>
          </w:p>
        </w:tc>
        <w:tc>
          <w:tcPr>
            <w:tcW w:type="dxa" w:w="1152"/>
            <w:vAlign w:val="top"/>
            <w:shd w:fill="F8FBFD"/>
          </w:tcPr>
          <w:p>
            <w:r>
              <w:rPr>
                <w:sz w:val="17"/>
              </w:rPr>
              <w:t>Verified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sz w:val="17"/>
              </w:rPr>
              <w:t>Bingler et al. (2022)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7"/>
              </w:rPr>
              <w:t>10.1016/j.frl.2022.102776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7"/>
              </w:rPr>
              <w:t>DOI / Elsevier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7"/>
              </w:rPr>
              <w:t>Verified</w:t>
            </w:r>
          </w:p>
        </w:tc>
      </w:tr>
      <w:tr>
        <w:tc>
          <w:tcPr>
            <w:tcW w:type="dxa" w:w="3600"/>
            <w:vAlign w:val="top"/>
            <w:shd w:fill="F8FBFD"/>
          </w:tcPr>
          <w:p>
            <w:r>
              <w:rPr>
                <w:sz w:val="17"/>
              </w:rPr>
              <w:t>Braasch &amp; Velte (2023)</w:t>
            </w:r>
          </w:p>
        </w:tc>
        <w:tc>
          <w:tcPr>
            <w:tcW w:type="dxa" w:w="3744"/>
            <w:vAlign w:val="top"/>
            <w:shd w:fill="F8FBFD"/>
          </w:tcPr>
          <w:p>
            <w:r>
              <w:rPr>
                <w:sz w:val="17"/>
              </w:rPr>
              <w:t>10.1002/sd.2430</w:t>
            </w:r>
          </w:p>
        </w:tc>
        <w:tc>
          <w:tcPr>
            <w:tcW w:type="dxa" w:w="3888"/>
            <w:vAlign w:val="top"/>
            <w:shd w:fill="F8FBFD"/>
          </w:tcPr>
          <w:p>
            <w:r>
              <w:rPr>
                <w:sz w:val="17"/>
              </w:rPr>
              <w:t>DOI / Wiley</w:t>
            </w:r>
          </w:p>
        </w:tc>
        <w:tc>
          <w:tcPr>
            <w:tcW w:type="dxa" w:w="1152"/>
            <w:vAlign w:val="top"/>
            <w:shd w:fill="F8FBFD"/>
          </w:tcPr>
          <w:p>
            <w:r>
              <w:rPr>
                <w:sz w:val="17"/>
              </w:rPr>
              <w:t>Verified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sz w:val="17"/>
              </w:rPr>
              <w:t>Cameron &amp; Miller (2015)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7"/>
              </w:rPr>
              <w:t>10.3368/jhr.50.2.317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7"/>
              </w:rPr>
              <w:t>Journal of Human Resources DOI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7"/>
              </w:rPr>
              <w:t>Verified</w:t>
            </w:r>
          </w:p>
        </w:tc>
      </w:tr>
      <w:tr>
        <w:tc>
          <w:tcPr>
            <w:tcW w:type="dxa" w:w="3600"/>
            <w:vAlign w:val="top"/>
            <w:shd w:fill="F8FBFD"/>
          </w:tcPr>
          <w:p>
            <w:r>
              <w:rPr>
                <w:sz w:val="17"/>
              </w:rPr>
              <w:t>Cohen (1968)</w:t>
            </w:r>
          </w:p>
        </w:tc>
        <w:tc>
          <w:tcPr>
            <w:tcW w:type="dxa" w:w="3744"/>
            <w:vAlign w:val="top"/>
            <w:shd w:fill="F8FBFD"/>
          </w:tcPr>
          <w:p>
            <w:r>
              <w:rPr>
                <w:sz w:val="17"/>
              </w:rPr>
              <w:t>10.1037/h0026256</w:t>
            </w:r>
          </w:p>
        </w:tc>
        <w:tc>
          <w:tcPr>
            <w:tcW w:type="dxa" w:w="3888"/>
            <w:vAlign w:val="top"/>
            <w:shd w:fill="F8FBFD"/>
          </w:tcPr>
          <w:p>
            <w:r>
              <w:rPr>
                <w:sz w:val="17"/>
              </w:rPr>
              <w:t>DOI / APA</w:t>
            </w:r>
          </w:p>
        </w:tc>
        <w:tc>
          <w:tcPr>
            <w:tcW w:type="dxa" w:w="1152"/>
            <w:vAlign w:val="top"/>
            <w:shd w:fill="F8FBFD"/>
          </w:tcPr>
          <w:p>
            <w:r>
              <w:rPr>
                <w:sz w:val="17"/>
              </w:rPr>
              <w:t>Verified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sz w:val="17"/>
              </w:rPr>
              <w:t>Deloitte (2025)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7"/>
              </w:rPr>
              <w:t>Corporate Reporting Insights 2025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7"/>
              </w:rPr>
              <w:t>Official Deloitte UK webpage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7"/>
              </w:rPr>
              <w:t>Verified</w:t>
            </w:r>
          </w:p>
        </w:tc>
      </w:tr>
      <w:tr>
        <w:tc>
          <w:tcPr>
            <w:tcW w:type="dxa" w:w="3600"/>
            <w:vAlign w:val="top"/>
            <w:shd w:fill="F8FBFD"/>
          </w:tcPr>
          <w:p>
            <w:r>
              <w:rPr>
                <w:sz w:val="17"/>
              </w:rPr>
              <w:t>Department for Business and Trade (2026)</w:t>
            </w:r>
          </w:p>
        </w:tc>
        <w:tc>
          <w:tcPr>
            <w:tcW w:type="dxa" w:w="3744"/>
            <w:vAlign w:val="top"/>
            <w:shd w:fill="F8FBFD"/>
          </w:tcPr>
          <w:p>
            <w:r>
              <w:rPr>
                <w:sz w:val="17"/>
              </w:rPr>
              <w:t>UK SRS S1 and UK SRS S2</w:t>
            </w:r>
          </w:p>
        </w:tc>
        <w:tc>
          <w:tcPr>
            <w:tcW w:type="dxa" w:w="3888"/>
            <w:vAlign w:val="top"/>
            <w:shd w:fill="F8FBFD"/>
          </w:tcPr>
          <w:p>
            <w:r>
              <w:rPr>
                <w:sz w:val="17"/>
              </w:rPr>
              <w:t>Official GOV.UK publication</w:t>
            </w:r>
          </w:p>
        </w:tc>
        <w:tc>
          <w:tcPr>
            <w:tcW w:type="dxa" w:w="1152"/>
            <w:vAlign w:val="top"/>
            <w:shd w:fill="F8FBFD"/>
          </w:tcPr>
          <w:p>
            <w:r>
              <w:rPr>
                <w:sz w:val="17"/>
              </w:rPr>
              <w:t>Verified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sz w:val="17"/>
              </w:rPr>
              <w:t>Elkington (1997)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7"/>
              </w:rPr>
              <w:t>Cannibals with Forks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7"/>
              </w:rPr>
              <w:t>Capstone / bibliographic catalogue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7"/>
              </w:rPr>
              <w:t>Verified</w:t>
            </w:r>
          </w:p>
        </w:tc>
      </w:tr>
      <w:tr>
        <w:tc>
          <w:tcPr>
            <w:tcW w:type="dxa" w:w="3600"/>
            <w:vAlign w:val="top"/>
            <w:shd w:fill="F8FBFD"/>
          </w:tcPr>
          <w:p>
            <w:r>
              <w:rPr>
                <w:sz w:val="17"/>
              </w:rPr>
              <w:t>Financial Conduct Authority (2022)</w:t>
            </w:r>
          </w:p>
        </w:tc>
        <w:tc>
          <w:tcPr>
            <w:tcW w:type="dxa" w:w="3744"/>
            <w:vAlign w:val="top"/>
            <w:shd w:fill="F8FBFD"/>
          </w:tcPr>
          <w:p>
            <w:r>
              <w:rPr>
                <w:sz w:val="17"/>
              </w:rPr>
              <w:t>TCFD-aligned disclosures review</w:t>
            </w:r>
          </w:p>
        </w:tc>
        <w:tc>
          <w:tcPr>
            <w:tcW w:type="dxa" w:w="3888"/>
            <w:vAlign w:val="top"/>
            <w:shd w:fill="F8FBFD"/>
          </w:tcPr>
          <w:p>
            <w:r>
              <w:rPr>
                <w:sz w:val="17"/>
              </w:rPr>
              <w:t>Official FCA webpage</w:t>
            </w:r>
          </w:p>
        </w:tc>
        <w:tc>
          <w:tcPr>
            <w:tcW w:type="dxa" w:w="1152"/>
            <w:vAlign w:val="top"/>
            <w:shd w:fill="F8FBFD"/>
          </w:tcPr>
          <w:p>
            <w:r>
              <w:rPr>
                <w:sz w:val="17"/>
              </w:rPr>
              <w:t>Verified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sz w:val="17"/>
              </w:rPr>
              <w:t>Financial Conduct Authority (2026)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7"/>
              </w:rPr>
              <w:t>PS26/19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7"/>
              </w:rPr>
              <w:t>Official FCA policy statement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7"/>
              </w:rPr>
              <w:t>Verified</w:t>
            </w:r>
          </w:p>
        </w:tc>
      </w:tr>
      <w:tr>
        <w:tc>
          <w:tcPr>
            <w:tcW w:type="dxa" w:w="3600"/>
            <w:vAlign w:val="top"/>
            <w:shd w:fill="F8FBFD"/>
          </w:tcPr>
          <w:p>
            <w:r>
              <w:rPr>
                <w:sz w:val="17"/>
              </w:rPr>
              <w:t>Gebhardt et al. (2024)</w:t>
            </w:r>
          </w:p>
        </w:tc>
        <w:tc>
          <w:tcPr>
            <w:tcW w:type="dxa" w:w="3744"/>
            <w:vAlign w:val="top"/>
            <w:shd w:fill="F8FBFD"/>
          </w:tcPr>
          <w:p>
            <w:r>
              <w:rPr>
                <w:sz w:val="17"/>
              </w:rPr>
              <w:t>10.1002/bse.3852</w:t>
            </w:r>
          </w:p>
        </w:tc>
        <w:tc>
          <w:tcPr>
            <w:tcW w:type="dxa" w:w="3888"/>
            <w:vAlign w:val="top"/>
            <w:shd w:fill="F8FBFD"/>
          </w:tcPr>
          <w:p>
            <w:r>
              <w:rPr>
                <w:sz w:val="17"/>
              </w:rPr>
              <w:t>DOI / Wiley</w:t>
            </w:r>
          </w:p>
        </w:tc>
        <w:tc>
          <w:tcPr>
            <w:tcW w:type="dxa" w:w="1152"/>
            <w:vAlign w:val="top"/>
            <w:shd w:fill="F8FBFD"/>
          </w:tcPr>
          <w:p>
            <w:r>
              <w:rPr>
                <w:sz w:val="17"/>
              </w:rPr>
              <w:t>Verified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sz w:val="17"/>
              </w:rPr>
              <w:t>Gupta (2026)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7"/>
              </w:rPr>
              <w:t>10.1002/bse.70374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7"/>
              </w:rPr>
              <w:t>DOI / Wiley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7"/>
              </w:rPr>
              <w:t>Verified</w:t>
            </w:r>
          </w:p>
        </w:tc>
      </w:tr>
      <w:tr>
        <w:tc>
          <w:tcPr>
            <w:tcW w:type="dxa" w:w="3600"/>
            <w:vAlign w:val="top"/>
            <w:shd w:fill="F8FBFD"/>
          </w:tcPr>
          <w:p>
            <w:r>
              <w:rPr>
                <w:sz w:val="17"/>
              </w:rPr>
              <w:t>IFRS Foundation (2023)</w:t>
            </w:r>
          </w:p>
        </w:tc>
        <w:tc>
          <w:tcPr>
            <w:tcW w:type="dxa" w:w="3744"/>
            <w:vAlign w:val="top"/>
            <w:shd w:fill="F8FBFD"/>
          </w:tcPr>
          <w:p>
            <w:r>
              <w:rPr>
                <w:sz w:val="17"/>
              </w:rPr>
              <w:t>IFRS S2 Climate-related Disclosures</w:t>
            </w:r>
          </w:p>
        </w:tc>
        <w:tc>
          <w:tcPr>
            <w:tcW w:type="dxa" w:w="3888"/>
            <w:vAlign w:val="top"/>
            <w:shd w:fill="F8FBFD"/>
          </w:tcPr>
          <w:p>
            <w:r>
              <w:rPr>
                <w:sz w:val="17"/>
              </w:rPr>
              <w:t>Official IFRS Foundation standard page</w:t>
            </w:r>
          </w:p>
        </w:tc>
        <w:tc>
          <w:tcPr>
            <w:tcW w:type="dxa" w:w="1152"/>
            <w:vAlign w:val="top"/>
            <w:shd w:fill="F8FBFD"/>
          </w:tcPr>
          <w:p>
            <w:r>
              <w:rPr>
                <w:sz w:val="17"/>
              </w:rPr>
              <w:t>Verified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sz w:val="17"/>
              </w:rPr>
              <w:t>IFRS Foundation (2025)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7"/>
              </w:rPr>
              <w:t>Anticipated financial effects guidance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7"/>
              </w:rPr>
              <w:t>Official IFRS Foundation implementation material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7"/>
              </w:rPr>
              <w:t>Verified</w:t>
            </w:r>
          </w:p>
        </w:tc>
      </w:tr>
      <w:tr>
        <w:tc>
          <w:tcPr>
            <w:tcW w:type="dxa" w:w="3600"/>
            <w:vAlign w:val="top"/>
            <w:shd w:fill="F8FBFD"/>
          </w:tcPr>
          <w:p>
            <w:r>
              <w:rPr>
                <w:sz w:val="17"/>
              </w:rPr>
              <w:t>Keeley et al. (2026)</w:t>
            </w:r>
          </w:p>
        </w:tc>
        <w:tc>
          <w:tcPr>
            <w:tcW w:type="dxa" w:w="3744"/>
            <w:vAlign w:val="top"/>
            <w:shd w:fill="F8FBFD"/>
          </w:tcPr>
          <w:p>
            <w:r>
              <w:rPr>
                <w:sz w:val="17"/>
              </w:rPr>
              <w:t>10.1002/bse.71121</w:t>
            </w:r>
          </w:p>
        </w:tc>
        <w:tc>
          <w:tcPr>
            <w:tcW w:type="dxa" w:w="3888"/>
            <w:vAlign w:val="top"/>
            <w:shd w:fill="F8FBFD"/>
          </w:tcPr>
          <w:p>
            <w:r>
              <w:rPr>
                <w:sz w:val="17"/>
              </w:rPr>
              <w:t>DOI / Wiley</w:t>
            </w:r>
          </w:p>
        </w:tc>
        <w:tc>
          <w:tcPr>
            <w:tcW w:type="dxa" w:w="1152"/>
            <w:vAlign w:val="top"/>
            <w:shd w:fill="F8FBFD"/>
          </w:tcPr>
          <w:p>
            <w:r>
              <w:rPr>
                <w:sz w:val="17"/>
              </w:rPr>
              <w:t>Verified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sz w:val="17"/>
              </w:rPr>
              <w:t>KPMG UK (2026)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7"/>
              </w:rPr>
              <w:t>ISSB readiness: the UK market’s moment of truth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7"/>
              </w:rPr>
              <w:t>Official KPMG UK webpage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7"/>
              </w:rPr>
              <w:t>Verified</w:t>
            </w:r>
          </w:p>
        </w:tc>
      </w:tr>
      <w:tr>
        <w:tc>
          <w:tcPr>
            <w:tcW w:type="dxa" w:w="3600"/>
            <w:vAlign w:val="top"/>
            <w:shd w:fill="F8FBFD"/>
          </w:tcPr>
          <w:p>
            <w:r>
              <w:rPr>
                <w:sz w:val="17"/>
              </w:rPr>
              <w:t>Liao, Luo &amp; Tang (2015)</w:t>
            </w:r>
          </w:p>
        </w:tc>
        <w:tc>
          <w:tcPr>
            <w:tcW w:type="dxa" w:w="3744"/>
            <w:vAlign w:val="top"/>
            <w:shd w:fill="F8FBFD"/>
          </w:tcPr>
          <w:p>
            <w:r>
              <w:rPr>
                <w:sz w:val="17"/>
              </w:rPr>
              <w:t>10.1016/j.bar.2014.01.002</w:t>
            </w:r>
          </w:p>
        </w:tc>
        <w:tc>
          <w:tcPr>
            <w:tcW w:type="dxa" w:w="3888"/>
            <w:vAlign w:val="top"/>
            <w:shd w:fill="F8FBFD"/>
          </w:tcPr>
          <w:p>
            <w:r>
              <w:rPr>
                <w:sz w:val="17"/>
              </w:rPr>
              <w:t>DOI / Elsevier</w:t>
            </w:r>
          </w:p>
        </w:tc>
        <w:tc>
          <w:tcPr>
            <w:tcW w:type="dxa" w:w="1152"/>
            <w:vAlign w:val="top"/>
            <w:shd w:fill="F8FBFD"/>
          </w:tcPr>
          <w:p>
            <w:r>
              <w:rPr>
                <w:sz w:val="17"/>
              </w:rPr>
              <w:t>Verified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sz w:val="17"/>
              </w:rPr>
              <w:t>Mashhadi Rajabi et al. (2026)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7"/>
              </w:rPr>
              <w:t>10.1108/MEDAR-10-2025-3345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7"/>
              </w:rPr>
              <w:t>DOI / Emerald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7"/>
              </w:rPr>
              <w:t>Verified</w:t>
            </w:r>
          </w:p>
        </w:tc>
      </w:tr>
      <w:tr>
        <w:tc>
          <w:tcPr>
            <w:tcW w:type="dxa" w:w="3600"/>
            <w:vAlign w:val="top"/>
            <w:shd w:fill="F8FBFD"/>
          </w:tcPr>
          <w:p>
            <w:r>
              <w:rPr>
                <w:sz w:val="17"/>
              </w:rPr>
              <w:t>Milne &amp; Adler (1999)</w:t>
            </w:r>
          </w:p>
        </w:tc>
        <w:tc>
          <w:tcPr>
            <w:tcW w:type="dxa" w:w="3744"/>
            <w:vAlign w:val="top"/>
            <w:shd w:fill="F8FBFD"/>
          </w:tcPr>
          <w:p>
            <w:r>
              <w:rPr>
                <w:sz w:val="17"/>
              </w:rPr>
              <w:t>10.1108/09513579910270138</w:t>
            </w:r>
          </w:p>
        </w:tc>
        <w:tc>
          <w:tcPr>
            <w:tcW w:type="dxa" w:w="3888"/>
            <w:vAlign w:val="top"/>
            <w:shd w:fill="F8FBFD"/>
          </w:tcPr>
          <w:p>
            <w:r>
              <w:rPr>
                <w:sz w:val="17"/>
              </w:rPr>
              <w:t>DOI / Emerald</w:t>
            </w:r>
          </w:p>
        </w:tc>
        <w:tc>
          <w:tcPr>
            <w:tcW w:type="dxa" w:w="1152"/>
            <w:vAlign w:val="top"/>
            <w:shd w:fill="F8FBFD"/>
          </w:tcPr>
          <w:p>
            <w:r>
              <w:rPr>
                <w:sz w:val="17"/>
              </w:rPr>
              <w:t>Verified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sz w:val="17"/>
              </w:rPr>
              <w:t>Moses et al. (2025)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7"/>
              </w:rPr>
              <w:t>10.1002/bse.4154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7"/>
              </w:rPr>
              <w:t>DOI / Wiley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7"/>
              </w:rPr>
              <w:t>Verified</w:t>
            </w:r>
          </w:p>
        </w:tc>
      </w:tr>
      <w:tr>
        <w:tc>
          <w:tcPr>
            <w:tcW w:type="dxa" w:w="3600"/>
            <w:vAlign w:val="top"/>
            <w:shd w:fill="F8FBFD"/>
          </w:tcPr>
          <w:p>
            <w:r>
              <w:rPr>
                <w:sz w:val="17"/>
              </w:rPr>
              <w:t>Neuendorf (2017)</w:t>
            </w:r>
          </w:p>
        </w:tc>
        <w:tc>
          <w:tcPr>
            <w:tcW w:type="dxa" w:w="3744"/>
            <w:vAlign w:val="top"/>
            <w:shd w:fill="F8FBFD"/>
          </w:tcPr>
          <w:p>
            <w:r>
              <w:rPr>
                <w:sz w:val="17"/>
              </w:rPr>
              <w:t>The Content Analysis Guidebook, 2nd ed.</w:t>
            </w:r>
          </w:p>
        </w:tc>
        <w:tc>
          <w:tcPr>
            <w:tcW w:type="dxa" w:w="3888"/>
            <w:vAlign w:val="top"/>
            <w:shd w:fill="F8FBFD"/>
          </w:tcPr>
          <w:p>
            <w:r>
              <w:rPr>
                <w:sz w:val="17"/>
              </w:rPr>
              <w:t>SAGE publisher record</w:t>
            </w:r>
          </w:p>
        </w:tc>
        <w:tc>
          <w:tcPr>
            <w:tcW w:type="dxa" w:w="1152"/>
            <w:vAlign w:val="top"/>
            <w:shd w:fill="F8FBFD"/>
          </w:tcPr>
          <w:p>
            <w:r>
              <w:rPr>
                <w:sz w:val="17"/>
              </w:rPr>
              <w:t>Verified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sz w:val="17"/>
              </w:rPr>
              <w:t>Norman &amp; MacDonald (2004)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7"/>
              </w:rPr>
              <w:t>10.5840/beq200414211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7"/>
              </w:rPr>
              <w:t>DOI / Business Ethics Quarterly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7"/>
              </w:rPr>
              <w:t>Verified</w:t>
            </w:r>
          </w:p>
        </w:tc>
      </w:tr>
      <w:tr>
        <w:tc>
          <w:tcPr>
            <w:tcW w:type="dxa" w:w="3600"/>
            <w:vAlign w:val="top"/>
            <w:shd w:fill="F8FBFD"/>
          </w:tcPr>
          <w:p>
            <w:r>
              <w:rPr>
                <w:sz w:val="17"/>
              </w:rPr>
              <w:t>Phang (2025)</w:t>
            </w:r>
          </w:p>
        </w:tc>
        <w:tc>
          <w:tcPr>
            <w:tcW w:type="dxa" w:w="3744"/>
            <w:vAlign w:val="top"/>
            <w:shd w:fill="F8FBFD"/>
          </w:tcPr>
          <w:p>
            <w:r>
              <w:rPr>
                <w:sz w:val="17"/>
              </w:rPr>
              <w:t>10.1111/1911-3846.13037</w:t>
            </w:r>
          </w:p>
        </w:tc>
        <w:tc>
          <w:tcPr>
            <w:tcW w:type="dxa" w:w="3888"/>
            <w:vAlign w:val="top"/>
            <w:shd w:fill="F8FBFD"/>
          </w:tcPr>
          <w:p>
            <w:r>
              <w:rPr>
                <w:sz w:val="17"/>
              </w:rPr>
              <w:t>DOI / Contemporary Accounting Research</w:t>
            </w:r>
          </w:p>
        </w:tc>
        <w:tc>
          <w:tcPr>
            <w:tcW w:type="dxa" w:w="1152"/>
            <w:vAlign w:val="top"/>
            <w:shd w:fill="F8FBFD"/>
          </w:tcPr>
          <w:p>
            <w:r>
              <w:rPr>
                <w:sz w:val="17"/>
              </w:rPr>
              <w:t>Verified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sz w:val="17"/>
              </w:rPr>
              <w:t>Saunders, Lewis &amp; Thornhill (2019)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7"/>
              </w:rPr>
              <w:t>Research Methods for Business Students, 8th ed.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7"/>
              </w:rPr>
              <w:t>Pearson publisher record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7"/>
              </w:rPr>
              <w:t>Verified</w:t>
            </w:r>
          </w:p>
        </w:tc>
      </w:tr>
      <w:tr>
        <w:tc>
          <w:tcPr>
            <w:tcW w:type="dxa" w:w="3600"/>
            <w:vAlign w:val="top"/>
            <w:shd w:fill="F8FBFD"/>
          </w:tcPr>
          <w:p>
            <w:r>
              <w:rPr>
                <w:sz w:val="17"/>
              </w:rPr>
              <w:t>Task Force on Climate-related Financial Disclosures (2017)</w:t>
            </w:r>
          </w:p>
        </w:tc>
        <w:tc>
          <w:tcPr>
            <w:tcW w:type="dxa" w:w="3744"/>
            <w:vAlign w:val="top"/>
            <w:shd w:fill="F8FBFD"/>
          </w:tcPr>
          <w:p>
            <w:r>
              <w:rPr>
                <w:sz w:val="17"/>
              </w:rPr>
              <w:t>Final recommendations</w:t>
            </w:r>
          </w:p>
        </w:tc>
        <w:tc>
          <w:tcPr>
            <w:tcW w:type="dxa" w:w="3888"/>
            <w:vAlign w:val="top"/>
            <w:shd w:fill="F8FBFD"/>
          </w:tcPr>
          <w:p>
            <w:r>
              <w:rPr>
                <w:sz w:val="17"/>
              </w:rPr>
              <w:t>Financial Stability Board / TCFD official record</w:t>
            </w:r>
          </w:p>
        </w:tc>
        <w:tc>
          <w:tcPr>
            <w:tcW w:type="dxa" w:w="1152"/>
            <w:vAlign w:val="top"/>
            <w:shd w:fill="F8FBFD"/>
          </w:tcPr>
          <w:p>
            <w:r>
              <w:rPr>
                <w:sz w:val="17"/>
              </w:rPr>
              <w:t>Verified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sz w:val="17"/>
              </w:rPr>
              <w:t>Tsalavoutas, Evans &amp; Smith (2010)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7"/>
              </w:rPr>
              <w:t>10.1108/09675421011088143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7"/>
              </w:rPr>
              <w:t>DOI / Emerald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7"/>
              </w:rPr>
              <w:t>Verified</w:t>
            </w:r>
          </w:p>
        </w:tc>
      </w:tr>
      <w:tr>
        <w:tc>
          <w:tcPr>
            <w:tcW w:type="dxa" w:w="3600"/>
            <w:vAlign w:val="top"/>
            <w:shd w:fill="F8FBFD"/>
          </w:tcPr>
          <w:p>
            <w:r>
              <w:rPr>
                <w:sz w:val="17"/>
              </w:rPr>
              <w:t>Wooldridge (2010)</w:t>
            </w:r>
          </w:p>
        </w:tc>
        <w:tc>
          <w:tcPr>
            <w:tcW w:type="dxa" w:w="3744"/>
            <w:vAlign w:val="top"/>
            <w:shd w:fill="F8FBFD"/>
          </w:tcPr>
          <w:p>
            <w:r>
              <w:rPr>
                <w:sz w:val="17"/>
              </w:rPr>
              <w:t>Econometric Analysis of Cross Section and Panel Data, 2nd ed.</w:t>
            </w:r>
          </w:p>
        </w:tc>
        <w:tc>
          <w:tcPr>
            <w:tcW w:type="dxa" w:w="3888"/>
            <w:vAlign w:val="top"/>
            <w:shd w:fill="F8FBFD"/>
          </w:tcPr>
          <w:p>
            <w:r>
              <w:rPr>
                <w:sz w:val="17"/>
              </w:rPr>
              <w:t>MIT Press publisher record</w:t>
            </w:r>
          </w:p>
        </w:tc>
        <w:tc>
          <w:tcPr>
            <w:tcW w:type="dxa" w:w="1152"/>
            <w:vAlign w:val="top"/>
            <w:shd w:fill="F8FBFD"/>
          </w:tcPr>
          <w:p>
            <w:r>
              <w:rPr>
                <w:sz w:val="17"/>
              </w:rPr>
              <w:t>Verified</w:t>
            </w:r>
          </w:p>
        </w:tc>
      </w:tr>
    </w:tbl>
    <w:p>
      <w:pPr>
        <w:pStyle w:val="Heading1"/>
      </w:pPr>
      <w:r>
        <w:t>Final reference-list controls</w:t>
      </w:r>
    </w:p>
    <w:p>
      <w:pPr>
        <w:pStyle w:val="ListBullet"/>
      </w:pPr>
      <w:r>
        <w:t>All retained references correspond to a real publication or authoritative organisational source.</w:t>
      </w:r>
    </w:p>
    <w:p>
      <w:pPr>
        <w:pStyle w:val="ListBullet"/>
      </w:pPr>
      <w:r>
        <w:t>Reference list reordered alphabetically and duplicate/stray entries removed.</w:t>
      </w:r>
    </w:p>
    <w:p>
      <w:pPr>
        <w:pStyle w:val="ListBullet"/>
      </w:pPr>
      <w:r>
        <w:t>Official regulatory dates and titles were checked against FCA, GOV.UK and IFRS Foundation pages.</w:t>
      </w:r>
    </w:p>
    <w:p>
      <w:pPr>
        <w:pStyle w:val="ListBullet"/>
      </w:pPr>
      <w:r>
        <w:t>DOIs/URLs are retained for traceability; raw URLs in APA references are a deliberate bibliographic convention, not an accessibility defect in the main narrative.</w:t>
      </w:r>
    </w:p>
    <w:sectPr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ns1:Ignorable="w14">
  <ns0:zoom ns0:val="bestFit"/>
  <ns0:proofState ns0:spelling="clean" ns0:grammar="clean"/>
  <ns0:defaultTabStop ns0:val="720"/>
  <ns0:characterSpacingControl ns0:val="doNotCompress"/>
  <ns0:savePreviewPicture/>
  <ns0:compat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ja-JP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7"/>
    <ns3:shapelayout ns4:ext="edit">
      <ns3:idmap ns4:ext="edit" data="1"/>
    </ns3:shapelayout>
  </ns0:shapeDefaults>
  <ns0:decimalSymbol ns0:val="."/>
  <ns0:listSeparator ns0:val=","/>
  <ns5:docId ns5:val="24062061"/>
  <ns5:defaultImageDpi ns5:val="300"/>
</ns0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ns0="http://schemas.openxmlformats.org/package/2006/metadata/core-properties"/>
</file>