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0"/>
        </w:rPr>
        <w:t>COVENTRY UNIVERSITY</w:t>
      </w:r>
    </w:p>
    <w:p>
      <w:pPr>
        <w:jc w:val="center"/>
      </w:pPr>
      <w:r>
        <w:rPr>
          <w:b/>
          <w:sz w:val="34"/>
        </w:rPr>
        <w:t>Route 1 Exceptional-Band (80–100) Final Audit</w:t>
      </w:r>
    </w:p>
    <w:p>
      <w:pPr>
        <w:jc w:val="center"/>
      </w:pPr>
      <w:r>
        <w:rPr>
          <w:i/>
          <w:sz w:val="21"/>
        </w:rPr>
        <w:t>Mapped against Coventry University 7015SOM marking criteria</w:t>
      </w:r>
    </w:p>
    <w:p>
      <w:pPr>
        <w:jc w:val="center"/>
      </w:pPr>
      <w:r>
        <w:rPr>
          <w:sz w:val="19"/>
        </w:rPr>
        <w:t>Vasu Deva Rao Madireddy | Student ID 16814044 | MSc Business Analytics | 7015SOM</w:t>
      </w:r>
    </w:p>
    <w:p/>
    <w:p>
      <w:r>
        <w:t>The assignment brief defines one Exceptional band covering 80–100. This audit does not predict or guarantee a mark; it checks whether the final dissertation makes each published descriptor visible and defensible.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</w:trPr>
        <w:tc>
          <w:tcPr>
            <w:tcW w:type="dxa" w:w="2160"/>
            <w:shd w:fill="2F75B5"/>
            <w:vAlign w:val="top"/>
          </w:tcPr>
          <w:p>
            <w:r>
              <w:rPr>
                <w:b/>
                <w:color w:val="FFFFFF"/>
                <w:sz w:val="17"/>
              </w:rPr>
              <w:t>Criterion</w:t>
            </w:r>
          </w:p>
        </w:tc>
        <w:tc>
          <w:tcPr>
            <w:tcW w:type="dxa" w:w="3600"/>
            <w:shd w:fill="2F75B5"/>
            <w:vAlign w:val="top"/>
          </w:tcPr>
          <w:p>
            <w:r>
              <w:rPr>
                <w:b/>
                <w:color w:val="FFFFFF"/>
                <w:sz w:val="17"/>
              </w:rPr>
              <w:t>Exceptional expectation</w:t>
            </w:r>
          </w:p>
        </w:tc>
        <w:tc>
          <w:tcPr>
            <w:tcW w:type="dxa" w:w="4896"/>
            <w:shd w:fill="2F75B5"/>
            <w:vAlign w:val="top"/>
          </w:tcPr>
          <w:p>
            <w:r>
              <w:rPr>
                <w:b/>
                <w:color w:val="FFFFFF"/>
                <w:sz w:val="17"/>
              </w:rPr>
              <w:t>Evidence in final paper</w:t>
            </w:r>
          </w:p>
        </w:tc>
        <w:tc>
          <w:tcPr>
            <w:tcW w:type="dxa" w:w="1728"/>
            <w:shd w:fill="2F75B5"/>
            <w:vAlign w:val="top"/>
          </w:tcPr>
          <w:p>
            <w:r>
              <w:rPr>
                <w:b/>
                <w:color w:val="FFFFFF"/>
                <w:sz w:val="17"/>
              </w:rPr>
              <w:t>Location</w:t>
            </w:r>
          </w:p>
        </w:tc>
        <w:tc>
          <w:tcPr>
            <w:tcW w:type="dxa" w:w="1152"/>
            <w:shd w:fill="2F75B5"/>
            <w:vAlign w:val="top"/>
          </w:tcPr>
          <w:p>
            <w:r>
              <w:rPr>
                <w:b/>
                <w:color w:val="FFFFFF"/>
                <w:sz w:val="17"/>
              </w:rPr>
              <w:t>Audit status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sz w:val="17"/>
              </w:rPr>
              <w:t>Introduction, research question, aim and objectives</w:t>
            </w:r>
          </w:p>
        </w:tc>
        <w:tc>
          <w:tcPr>
            <w:tcW w:type="dxa" w:w="3600"/>
            <w:vAlign w:val="top"/>
          </w:tcPr>
          <w:p>
            <w:r>
              <w:rPr>
                <w:sz w:val="17"/>
              </w:rPr>
              <w:t>Exceptionally clear, original, Business Analytics aligned; precise, feasible and challenging; convincing scope/rationale/business relevance.</w:t>
            </w:r>
          </w:p>
        </w:tc>
        <w:tc>
          <w:tcPr>
            <w:tcW w:type="dxa" w:w="4896"/>
            <w:vAlign w:val="top"/>
          </w:tcPr>
          <w:p>
            <w:r>
              <w:rPr>
                <w:sz w:val="17"/>
              </w:rPr>
              <w:t>Financial-connectivity problem is distinguished from generic climate disclosure; pre-UK SRS baseline is justified; CFCQI translates unstructured reports into auditable analytical variables; aim, four objectives and three RQs are aligned.</w:t>
            </w:r>
          </w:p>
        </w:tc>
        <w:tc>
          <w:tcPr>
            <w:tcW w:type="dxa" w:w="1728"/>
            <w:vAlign w:val="top"/>
          </w:tcPr>
          <w:p>
            <w:r>
              <w:rPr>
                <w:sz w:val="17"/>
              </w:rPr>
              <w:t>Ch.1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Met</w:t>
            </w:r>
          </w:p>
        </w:tc>
      </w:tr>
      <w:tr>
        <w:tc>
          <w:tcPr>
            <w:tcW w:type="dxa" w:w="2160"/>
            <w:vAlign w:val="top"/>
            <w:shd w:fill="F8FBFD"/>
          </w:tcPr>
          <w:p>
            <w:r>
              <w:rPr>
                <w:sz w:val="17"/>
              </w:rPr>
              <w:t>Literature review</w:t>
            </w:r>
          </w:p>
        </w:tc>
        <w:tc>
          <w:tcPr>
            <w:tcW w:type="dxa" w:w="3600"/>
            <w:vAlign w:val="top"/>
            <w:shd w:fill="F8FBFD"/>
          </w:tcPr>
          <w:p>
            <w:r>
              <w:rPr>
                <w:sz w:val="17"/>
              </w:rPr>
              <w:t>Exceptional critical engagement with current academic/practitioner literature; synthesis leads to gap, conceptual direction and analytical focus.</w:t>
            </w:r>
          </w:p>
        </w:tc>
        <w:tc>
          <w:tcPr>
            <w:tcW w:type="dxa" w:w="4896"/>
            <w:vAlign w:val="top"/>
            <w:shd w:fill="F8FBFD"/>
          </w:tcPr>
          <w:p>
            <w:r>
              <w:rPr>
                <w:sz w:val="17"/>
              </w:rPr>
              <w:t>Current academic, regulatory and practitioner evidence is compared rather than listed; tensions around narrative vs quantification, assurance scope, governance and sector/size effects are synthesised; measurement, explanatory and temporal gaps are explicit; TBL gives conceptual direction.</w:t>
            </w:r>
          </w:p>
        </w:tc>
        <w:tc>
          <w:tcPr>
            <w:tcW w:type="dxa" w:w="1728"/>
            <w:vAlign w:val="top"/>
            <w:shd w:fill="F8FBFD"/>
          </w:tcPr>
          <w:p>
            <w:r>
              <w:rPr>
                <w:sz w:val="17"/>
              </w:rPr>
              <w:t>Ch.2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Met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sz w:val="17"/>
              </w:rPr>
              <w:t>Methodology and ethics</w:t>
            </w:r>
          </w:p>
        </w:tc>
        <w:tc>
          <w:tcPr>
            <w:tcW w:type="dxa" w:w="3600"/>
            <w:vAlign w:val="top"/>
          </w:tcPr>
          <w:p>
            <w:r>
              <w:rPr>
                <w:sz w:val="17"/>
              </w:rPr>
              <w:t>Rigorous, coherent, fully justified; appropriate data/selection/analytical approach; ethics, limitations, reliability, validity and responsible data use comprehensive.</w:t>
            </w:r>
          </w:p>
        </w:tc>
        <w:tc>
          <w:tcPr>
            <w:tcW w:type="dxa" w:w="4896"/>
            <w:vAlign w:val="top"/>
          </w:tcPr>
          <w:p>
            <w:r>
              <w:rPr>
                <w:sz w:val="17"/>
              </w:rPr>
              <w:t>Research Onion is explicit; pragmatist/deductive/mono-quant design justified; quantitative content analysis distinguished from thematic analysis; sample/report rules, CFCQI scoring, equal weighting, variables, H0/H1, OLS/diagnostics/paired tests, reliability, validity, ethics and provenance are documented.</w:t>
            </w:r>
          </w:p>
        </w:tc>
        <w:tc>
          <w:tcPr>
            <w:tcW w:type="dxa" w:w="1728"/>
            <w:vAlign w:val="top"/>
          </w:tcPr>
          <w:p>
            <w:r>
              <w:rPr>
                <w:sz w:val="17"/>
              </w:rPr>
              <w:t>Ch.3; App. A–F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Met</w:t>
            </w:r>
          </w:p>
        </w:tc>
      </w:tr>
      <w:tr>
        <w:tc>
          <w:tcPr>
            <w:tcW w:type="dxa" w:w="2160"/>
            <w:vAlign w:val="top"/>
            <w:shd w:fill="F8FBFD"/>
          </w:tcPr>
          <w:p>
            <w:r>
              <w:rPr>
                <w:sz w:val="17"/>
              </w:rPr>
              <w:t>Findings and analysis</w:t>
            </w:r>
          </w:p>
        </w:tc>
        <w:tc>
          <w:tcPr>
            <w:tcW w:type="dxa" w:w="3600"/>
            <w:vAlign w:val="top"/>
            <w:shd w:fill="F8FBFD"/>
          </w:tcPr>
          <w:p>
            <w:r>
              <w:rPr>
                <w:sz w:val="17"/>
              </w:rPr>
              <w:t>Sophisticated, accurate analysis linked to objectives using appropriate Business Analytics; professional tables/figures with clear explanation.</w:t>
            </w:r>
          </w:p>
        </w:tc>
        <w:tc>
          <w:tcPr>
            <w:tcW w:type="dxa" w:w="4896"/>
            <w:vAlign w:val="top"/>
            <w:shd w:fill="F8FBFD"/>
          </w:tcPr>
          <w:p>
            <w:r>
              <w:rPr>
                <w:sz w:val="17"/>
              </w:rPr>
              <w:t>80 reports/960 decisions; reliability; full CFCQI profile; sector/cycle results; cluster-robust OLS with CIs/controls; VIF/Breusch–Pagan/residual/Cook’s diagnostics; HC3 and exclusion sensitivities; Wilcoxon/t/sign tests; complete item-change analysis; publication-quality figures.</w:t>
            </w:r>
          </w:p>
        </w:tc>
        <w:tc>
          <w:tcPr>
            <w:tcW w:type="dxa" w:w="1728"/>
            <w:vAlign w:val="top"/>
            <w:shd w:fill="F8FBFD"/>
          </w:tcPr>
          <w:p>
            <w:r>
              <w:rPr>
                <w:sz w:val="17"/>
              </w:rPr>
              <w:t>Ch.4; Apps C–G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Met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sz w:val="17"/>
              </w:rPr>
              <w:t>Discussion, conclusions, recommendations</w:t>
            </w:r>
          </w:p>
        </w:tc>
        <w:tc>
          <w:tcPr>
            <w:tcW w:type="dxa" w:w="3600"/>
            <w:vAlign w:val="top"/>
          </w:tcPr>
          <w:p>
            <w:r>
              <w:rPr>
                <w:sz w:val="17"/>
              </w:rPr>
              <w:t>Excellent critical insight; links findings to literature/practice; convincing conclusions; realistic evidence-based recommendations; explicit limitations; near-professional referencing/presentation.</w:t>
            </w:r>
          </w:p>
        </w:tc>
        <w:tc>
          <w:tcPr>
            <w:tcW w:type="dxa" w:w="4896"/>
            <w:vAlign w:val="top"/>
          </w:tcPr>
          <w:p>
            <w:r>
              <w:rPr>
                <w:sz w:val="17"/>
              </w:rPr>
              <w:t>RQ1–RQ3 are interpreted against IFRS S2/UK SRS, academic literature and TBL; statistical vs practical significance and alternative explanations are treated; RQs are directly answered; contribution is separated into academic/methodological/practical; recommendations identify owner/timeframe/KPI; limitations and future research are explicit.</w:t>
            </w:r>
          </w:p>
        </w:tc>
        <w:tc>
          <w:tcPr>
            <w:tcW w:type="dxa" w:w="1728"/>
            <w:vAlign w:val="top"/>
          </w:tcPr>
          <w:p>
            <w:r>
              <w:rPr>
                <w:sz w:val="17"/>
              </w:rPr>
              <w:t>Ch.5–6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Met</w:t>
            </w:r>
          </w:p>
        </w:tc>
      </w:tr>
      <w:tr>
        <w:tc>
          <w:tcPr>
            <w:tcW w:type="dxa" w:w="2160"/>
            <w:vAlign w:val="top"/>
            <w:shd w:fill="F8FBFD"/>
          </w:tcPr>
          <w:p>
            <w:r>
              <w:rPr>
                <w:sz w:val="17"/>
              </w:rPr>
              <w:t>Overall achievement</w:t>
            </w:r>
          </w:p>
        </w:tc>
        <w:tc>
          <w:tcPr>
            <w:tcW w:type="dxa" w:w="3600"/>
            <w:vAlign w:val="top"/>
            <w:shd w:fill="F8FBFD"/>
          </w:tcPr>
          <w:p>
            <w:r>
              <w:rPr>
                <w:sz w:val="17"/>
              </w:rPr>
              <w:t>Highly independent, coherent postgraduate work showing analytical judgement, critical thinking and professional academic presentation.</w:t>
            </w:r>
          </w:p>
        </w:tc>
        <w:tc>
          <w:tcPr>
            <w:tcW w:type="dxa" w:w="4896"/>
            <w:vAlign w:val="top"/>
            <w:shd w:fill="F8FBFD"/>
          </w:tcPr>
          <w:p>
            <w:r>
              <w:rPr>
                <w:sz w:val="17"/>
              </w:rPr>
              <w:t>Single coherent argument from problem → gap → theory → methodology → results → discussion → action; verified references; static TOC/lists; abbreviations; appendices; evidence provenance; commented/reproducible technical package; final QA completed.</w:t>
            </w:r>
          </w:p>
        </w:tc>
        <w:tc>
          <w:tcPr>
            <w:tcW w:type="dxa" w:w="1728"/>
            <w:vAlign w:val="top"/>
            <w:shd w:fill="F8FBFD"/>
          </w:tcPr>
          <w:p>
            <w:r>
              <w:rPr>
                <w:sz w:val="17"/>
              </w:rPr>
              <w:t>Whole dissertation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Met</w:t>
            </w:r>
          </w:p>
        </w:tc>
      </w:tr>
    </w:tbl>
    <w:p>
      <w:pPr>
        <w:pStyle w:val="Heading1"/>
      </w:pPr>
      <w:r>
        <w:t>Quantitative QA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2880"/>
            <w:shd w:fill="2F75B5"/>
            <w:vAlign w:val="top"/>
          </w:tcPr>
          <w:p>
            <w:r>
              <w:rPr>
                <w:b/>
                <w:color w:val="FFFFFF"/>
                <w:sz w:val="17"/>
              </w:rPr>
              <w:t>Check</w:t>
            </w:r>
          </w:p>
        </w:tc>
        <w:tc>
          <w:tcPr>
            <w:tcW w:type="dxa" w:w="7488"/>
            <w:shd w:fill="2F75B5"/>
            <w:vAlign w:val="top"/>
          </w:tcPr>
          <w:p>
            <w:r>
              <w:rPr>
                <w:b/>
                <w:color w:val="FFFFFF"/>
                <w:sz w:val="17"/>
              </w:rPr>
              <w:t>Final state</w:t>
            </w:r>
          </w:p>
        </w:tc>
        <w:tc>
          <w:tcPr>
            <w:tcW w:type="dxa" w:w="2016"/>
            <w:shd w:fill="2F75B5"/>
            <w:vAlign w:val="top"/>
          </w:tcPr>
          <w:p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17"/>
              </w:rPr>
              <w:t>Approved route</w:t>
            </w:r>
          </w:p>
        </w:tc>
        <w:tc>
          <w:tcPr>
            <w:tcW w:type="dxa" w:w="7488"/>
            <w:vAlign w:val="top"/>
          </w:tcPr>
          <w:p>
            <w:r>
              <w:rPr>
                <w:sz w:val="17"/>
              </w:rPr>
              <w:t>Route 1 – Research-based Dissertation</w:t>
            </w:r>
          </w:p>
        </w:tc>
        <w:tc>
          <w:tcPr>
            <w:tcW w:type="dxa" w:w="2016"/>
            <w:vAlign w:val="top"/>
          </w:tcPr>
          <w:p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2880"/>
            <w:vAlign w:val="top"/>
            <w:shd w:fill="F8FBFD"/>
          </w:tcPr>
          <w:p>
            <w:r>
              <w:rPr>
                <w:sz w:val="17"/>
              </w:rPr>
              <w:t>Main sample</w:t>
            </w:r>
          </w:p>
        </w:tc>
        <w:tc>
          <w:tcPr>
            <w:tcW w:type="dxa" w:w="7488"/>
            <w:vAlign w:val="top"/>
            <w:shd w:fill="F8FBFD"/>
          </w:tcPr>
          <w:p>
            <w:r>
              <w:rPr>
                <w:sz w:val="17"/>
              </w:rPr>
              <w:t>40 firms × two reporting cycles = 80 firm-years</w:t>
            </w:r>
          </w:p>
        </w:tc>
        <w:tc>
          <w:tcPr>
            <w:tcW w:type="dxa" w:w="2016"/>
            <w:vAlign w:val="top"/>
            <w:shd w:fill="F8FBFD"/>
          </w:tcPr>
          <w:p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17"/>
              </w:rPr>
              <w:t>Source corpus</w:t>
            </w:r>
          </w:p>
        </w:tc>
        <w:tc>
          <w:tcPr>
            <w:tcW w:type="dxa" w:w="7488"/>
            <w:vAlign w:val="top"/>
          </w:tcPr>
          <w:p>
            <w:r>
              <w:rPr>
                <w:sz w:val="17"/>
              </w:rPr>
              <w:t>80 verified annual reports; 80 unique SHA-256 hashes</w:t>
            </w:r>
          </w:p>
        </w:tc>
        <w:tc>
          <w:tcPr>
            <w:tcW w:type="dxa" w:w="2016"/>
            <w:vAlign w:val="top"/>
          </w:tcPr>
          <w:p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2880"/>
            <w:vAlign w:val="top"/>
            <w:shd w:fill="F8FBFD"/>
          </w:tcPr>
          <w:p>
            <w:r>
              <w:rPr>
                <w:sz w:val="17"/>
              </w:rPr>
              <w:t>CFCQI decisions</w:t>
            </w:r>
          </w:p>
        </w:tc>
        <w:tc>
          <w:tcPr>
            <w:tcW w:type="dxa" w:w="7488"/>
            <w:vAlign w:val="top"/>
            <w:shd w:fill="F8FBFD"/>
          </w:tcPr>
          <w:p>
            <w:r>
              <w:rPr>
                <w:sz w:val="17"/>
              </w:rPr>
              <w:t>960/960 item decisions populated and evidence-traced</w:t>
            </w:r>
          </w:p>
        </w:tc>
        <w:tc>
          <w:tcPr>
            <w:tcW w:type="dxa" w:w="2016"/>
            <w:vAlign w:val="top"/>
            <w:shd w:fill="F8FBFD"/>
          </w:tcPr>
          <w:p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17"/>
              </w:rPr>
              <w:t>Model variables</w:t>
            </w:r>
          </w:p>
        </w:tc>
        <w:tc>
          <w:tcPr>
            <w:tcW w:type="dxa" w:w="7488"/>
            <w:vAlign w:val="top"/>
          </w:tcPr>
          <w:p>
            <w:r>
              <w:rPr>
                <w:sz w:val="17"/>
              </w:rPr>
              <w:t>No missing values in final regression dataset</w:t>
            </w:r>
          </w:p>
        </w:tc>
        <w:tc>
          <w:tcPr>
            <w:tcW w:type="dxa" w:w="2016"/>
            <w:vAlign w:val="top"/>
          </w:tcPr>
          <w:p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2880"/>
            <w:vAlign w:val="top"/>
            <w:shd w:fill="F8FBFD"/>
          </w:tcPr>
          <w:p>
            <w:r>
              <w:rPr>
                <w:sz w:val="17"/>
              </w:rPr>
              <w:t>Reliability</w:t>
            </w:r>
          </w:p>
        </w:tc>
        <w:tc>
          <w:tcPr>
            <w:tcW w:type="dxa" w:w="7488"/>
            <w:vAlign w:val="top"/>
            <w:shd w:fill="F8FBFD"/>
          </w:tcPr>
          <w:p>
            <w:r>
              <w:rPr>
                <w:sz w:val="17"/>
              </w:rPr>
              <w:t>12-report blind scoring-stability check; pooled weighted κ = 0.631</w:t>
            </w:r>
          </w:p>
        </w:tc>
        <w:tc>
          <w:tcPr>
            <w:tcW w:type="dxa" w:w="2016"/>
            <w:vAlign w:val="top"/>
            <w:shd w:fill="F8FBFD"/>
          </w:tcPr>
          <w:p>
            <w:r>
              <w:rPr>
                <w:sz w:val="17"/>
              </w:rPr>
              <w:t>Pass with item-level caveat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17"/>
              </w:rPr>
              <w:t>RQ2 model</w:t>
            </w:r>
          </w:p>
        </w:tc>
        <w:tc>
          <w:tcPr>
            <w:tcW w:type="dxa" w:w="7488"/>
            <w:vAlign w:val="top"/>
          </w:tcPr>
          <w:p>
            <w:r>
              <w:rPr>
                <w:sz w:val="17"/>
              </w:rPr>
              <w:t>Firm-clustered robust OLS + diagnostics + sensitivity models</w:t>
            </w:r>
          </w:p>
        </w:tc>
        <w:tc>
          <w:tcPr>
            <w:tcW w:type="dxa" w:w="2016"/>
            <w:vAlign w:val="top"/>
          </w:tcPr>
          <w:p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2880"/>
            <w:vAlign w:val="top"/>
            <w:shd w:fill="F8FBFD"/>
          </w:tcPr>
          <w:p>
            <w:r>
              <w:rPr>
                <w:sz w:val="17"/>
              </w:rPr>
              <w:t>RQ3</w:t>
            </w:r>
          </w:p>
        </w:tc>
        <w:tc>
          <w:tcPr>
            <w:tcW w:type="dxa" w:w="7488"/>
            <w:vAlign w:val="top"/>
            <w:shd w:fill="F8FBFD"/>
          </w:tcPr>
          <w:p>
            <w:r>
              <w:rPr>
                <w:sz w:val="17"/>
              </w:rPr>
              <w:t>Latest − Prior; Wilcoxon + t-test + exact sign + exclusions</w:t>
            </w:r>
          </w:p>
        </w:tc>
        <w:tc>
          <w:tcPr>
            <w:tcW w:type="dxa" w:w="2016"/>
            <w:vAlign w:val="top"/>
            <w:shd w:fill="F8FBFD"/>
          </w:tcPr>
          <w:p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17"/>
              </w:rPr>
              <w:t>Review artefacts</w:t>
            </w:r>
          </w:p>
        </w:tc>
        <w:tc>
          <w:tcPr>
            <w:tcW w:type="dxa" w:w="7488"/>
            <w:vAlign w:val="top"/>
          </w:tcPr>
          <w:p>
            <w:r>
              <w:rPr>
                <w:sz w:val="17"/>
              </w:rPr>
              <w:t>0 Word comments; 0 tracked changes</w:t>
            </w:r>
          </w:p>
        </w:tc>
        <w:tc>
          <w:tcPr>
            <w:tcW w:type="dxa" w:w="2016"/>
            <w:vAlign w:val="top"/>
          </w:tcPr>
          <w:p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2880"/>
            <w:vAlign w:val="top"/>
            <w:shd w:fill="F8FBFD"/>
          </w:tcPr>
          <w:p>
            <w:r>
              <w:rPr>
                <w:sz w:val="17"/>
              </w:rPr>
              <w:t>Accessibility</w:t>
            </w:r>
          </w:p>
        </w:tc>
        <w:tc>
          <w:tcPr>
            <w:tcW w:type="dxa" w:w="7488"/>
            <w:vAlign w:val="top"/>
            <w:shd w:fill="F8FBFD"/>
          </w:tcPr>
          <w:p>
            <w:r>
              <w:rPr>
                <w:sz w:val="17"/>
              </w:rPr>
              <w:t>0 high / 0 medium findings after fixes</w:t>
            </w:r>
          </w:p>
        </w:tc>
        <w:tc>
          <w:tcPr>
            <w:tcW w:type="dxa" w:w="2016"/>
            <w:vAlign w:val="top"/>
            <w:shd w:fill="F8FBFD"/>
          </w:tcPr>
          <w:p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17"/>
              </w:rPr>
              <w:t>Word-count risk</w:t>
            </w:r>
          </w:p>
        </w:tc>
        <w:tc>
          <w:tcPr>
            <w:tcW w:type="dxa" w:w="7488"/>
            <w:vAlign w:val="top"/>
          </w:tcPr>
          <w:p>
            <w:r>
              <w:rPr>
                <w:sz w:val="17"/>
              </w:rPr>
              <w:t>Main report remains below the 10% penalty threshold under the project’s counting convention</w:t>
            </w:r>
          </w:p>
        </w:tc>
        <w:tc>
          <w:tcPr>
            <w:tcW w:type="dxa" w:w="2016"/>
            <w:vAlign w:val="top"/>
          </w:tcPr>
          <w:p>
            <w:r>
              <w:rPr>
                <w:sz w:val="17"/>
              </w:rPr>
              <w:t>Pass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vAlign w:val="top"/>
            <w:shd w:fill="FFF2CC"/>
          </w:tcPr>
          <w:p>
            <w:r>
              <w:rPr>
                <w:i/>
              </w:rPr>
              <w:t>A marker retains academic judgement. “Met” means that the published descriptor is explicitly evidenced; it is not a guarantee of a particular numerical mark.</w:t>
            </w:r>
          </w:p>
        </w:tc>
      </w:tr>
    </w:tbl>
    <w:sectPr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