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TECHNICAL IMPLEMENTATION REPORT</w:t>
      </w:r>
    </w:p>
    <w:p>
      <w:pPr>
        <w:jc w:val="center"/>
      </w:pPr>
      <w:r>
        <w:rPr>
          <w:b/>
          <w:sz w:val="28"/>
        </w:rPr>
        <w:t>Quantified and Financially Connected Climate Disclosure in Climate-Sensitive FTSE 350 Firms</w:t>
      </w:r>
    </w:p>
    <w:p>
      <w:pPr>
        <w:jc w:val="center"/>
      </w:pPr>
      <w:r>
        <w:rPr>
          <w:i/>
        </w:rPr>
        <w:t>Determinants and Reporting Gaps Ahead of UK SRS S2</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line="240" w:lineRule="auto"/>
            </w:pPr>
            <w:r/>
            <w:r>
              <w:rPr>
                <w:rFonts w:ascii="Aptos" w:hAnsi="Aptos"/>
                <w:b/>
                <w:sz w:val="19"/>
              </w:rPr>
              <w:t>Student</w:t>
            </w:r>
          </w:p>
        </w:tc>
        <w:tc>
          <w:tcPr>
            <w:tcW w:type="dxa" w:w="5040"/>
            <w:vAlign w:val="center"/>
          </w:tcPr>
          <w:p>
            <w:pPr>
              <w:spacing w:after="0" w:line="240" w:lineRule="auto"/>
            </w:pPr>
            <w:r/>
            <w:r>
              <w:rPr>
                <w:rFonts w:ascii="Aptos" w:hAnsi="Aptos"/>
                <w:b w:val="0"/>
                <w:sz w:val="19"/>
              </w:rPr>
              <w:t>Vasu Deva Rao Madireddy</w:t>
            </w:r>
          </w:p>
        </w:tc>
      </w:tr>
      <w:tr>
        <w:tc>
          <w:tcPr>
            <w:tcW w:type="dxa" w:w="5040"/>
            <w:vAlign w:val="center"/>
            <w:shd w:fill="D9EAF7"/>
          </w:tcPr>
          <w:p>
            <w:pPr>
              <w:spacing w:after="0" w:line="240" w:lineRule="auto"/>
            </w:pPr>
            <w:r/>
            <w:r>
              <w:rPr>
                <w:rFonts w:ascii="Aptos" w:hAnsi="Aptos"/>
                <w:b/>
                <w:sz w:val="19"/>
              </w:rPr>
              <w:t>Student ID</w:t>
            </w:r>
          </w:p>
        </w:tc>
        <w:tc>
          <w:tcPr>
            <w:tcW w:type="dxa" w:w="5040"/>
            <w:vAlign w:val="center"/>
          </w:tcPr>
          <w:p>
            <w:pPr>
              <w:spacing w:after="0" w:line="240" w:lineRule="auto"/>
            </w:pPr>
            <w:r/>
            <w:r>
              <w:rPr>
                <w:rFonts w:ascii="Aptos" w:hAnsi="Aptos"/>
                <w:b w:val="0"/>
                <w:sz w:val="19"/>
              </w:rPr>
              <w:t>16814044</w:t>
            </w:r>
          </w:p>
        </w:tc>
      </w:tr>
      <w:tr>
        <w:tc>
          <w:tcPr>
            <w:tcW w:type="dxa" w:w="5040"/>
            <w:vAlign w:val="center"/>
            <w:shd w:fill="D9EAF7"/>
          </w:tcPr>
          <w:p>
            <w:pPr>
              <w:spacing w:after="0" w:line="240" w:lineRule="auto"/>
            </w:pPr>
            <w:r/>
            <w:r>
              <w:rPr>
                <w:rFonts w:ascii="Aptos" w:hAnsi="Aptos"/>
                <w:b/>
                <w:sz w:val="19"/>
              </w:rPr>
              <w:t>Programme</w:t>
            </w:r>
          </w:p>
        </w:tc>
        <w:tc>
          <w:tcPr>
            <w:tcW w:type="dxa" w:w="5040"/>
            <w:vAlign w:val="center"/>
          </w:tcPr>
          <w:p>
            <w:pPr>
              <w:spacing w:after="0" w:line="240" w:lineRule="auto"/>
            </w:pPr>
            <w:r/>
            <w:r>
              <w:rPr>
                <w:rFonts w:ascii="Aptos" w:hAnsi="Aptos"/>
                <w:b w:val="0"/>
                <w:sz w:val="19"/>
              </w:rPr>
              <w:t>MSc Business Analytics, Coventry University</w:t>
            </w:r>
          </w:p>
        </w:tc>
      </w:tr>
      <w:tr>
        <w:tc>
          <w:tcPr>
            <w:tcW w:type="dxa" w:w="5040"/>
            <w:vAlign w:val="center"/>
            <w:shd w:fill="D9EAF7"/>
          </w:tcPr>
          <w:p>
            <w:pPr>
              <w:spacing w:after="0" w:line="240" w:lineRule="auto"/>
            </w:pPr>
            <w:r/>
            <w:r>
              <w:rPr>
                <w:rFonts w:ascii="Aptos" w:hAnsi="Aptos"/>
                <w:b/>
                <w:sz w:val="19"/>
              </w:rPr>
              <w:t>Project route</w:t>
            </w:r>
          </w:p>
        </w:tc>
        <w:tc>
          <w:tcPr>
            <w:tcW w:type="dxa" w:w="5040"/>
            <w:vAlign w:val="center"/>
          </w:tcPr>
          <w:p>
            <w:pPr>
              <w:spacing w:after="0" w:line="240" w:lineRule="auto"/>
            </w:pPr>
            <w:r/>
            <w:r>
              <w:rPr>
                <w:rFonts w:ascii="Aptos" w:hAnsi="Aptos"/>
                <w:b w:val="0"/>
                <w:sz w:val="19"/>
              </w:rPr>
              <w:t>Route 1 – Research Dissertation</w:t>
            </w:r>
          </w:p>
        </w:tc>
      </w:tr>
      <w:tr>
        <w:tc>
          <w:tcPr>
            <w:tcW w:type="dxa" w:w="5040"/>
            <w:vAlign w:val="center"/>
            <w:shd w:fill="D9EAF7"/>
          </w:tcPr>
          <w:p>
            <w:pPr>
              <w:spacing w:after="0" w:line="240" w:lineRule="auto"/>
            </w:pPr>
            <w:r/>
            <w:r>
              <w:rPr>
                <w:rFonts w:ascii="Aptos" w:hAnsi="Aptos"/>
                <w:b/>
                <w:sz w:val="19"/>
              </w:rPr>
              <w:t>Technical stack</w:t>
            </w:r>
          </w:p>
        </w:tc>
        <w:tc>
          <w:tcPr>
            <w:tcW w:type="dxa" w:w="5040"/>
            <w:vAlign w:val="center"/>
          </w:tcPr>
          <w:p>
            <w:pPr>
              <w:spacing w:after="0" w:line="240" w:lineRule="auto"/>
            </w:pPr>
            <w:r/>
            <w:r>
              <w:rPr>
                <w:rFonts w:ascii="Aptos" w:hAnsi="Aptos"/>
                <w:b w:val="0"/>
                <w:sz w:val="19"/>
              </w:rPr>
              <w:t>Excel + Python; Power BI-ready data prepared</w:t>
            </w:r>
          </w:p>
        </w:tc>
      </w:tr>
      <w:tr>
        <w:tc>
          <w:tcPr>
            <w:tcW w:type="dxa" w:w="5040"/>
            <w:vAlign w:val="center"/>
            <w:shd w:fill="D9EAF7"/>
          </w:tcPr>
          <w:p>
            <w:pPr>
              <w:spacing w:after="0" w:line="240" w:lineRule="auto"/>
            </w:pPr>
            <w:r/>
            <w:r>
              <w:rPr>
                <w:rFonts w:ascii="Aptos" w:hAnsi="Aptos"/>
                <w:b/>
                <w:sz w:val="19"/>
              </w:rPr>
              <w:t>Corpus</w:t>
            </w:r>
          </w:p>
        </w:tc>
        <w:tc>
          <w:tcPr>
            <w:tcW w:type="dxa" w:w="5040"/>
            <w:vAlign w:val="center"/>
          </w:tcPr>
          <w:p>
            <w:pPr>
              <w:spacing w:after="0" w:line="240" w:lineRule="auto"/>
            </w:pPr>
            <w:r/>
            <w:r>
              <w:rPr>
                <w:rFonts w:ascii="Aptos" w:hAnsi="Aptos"/>
                <w:b w:val="0"/>
                <w:sz w:val="19"/>
              </w:rPr>
              <w:t>40 firms × 2 cycles = 80 verified annual reports</w:t>
            </w:r>
          </w:p>
        </w:tc>
      </w:tr>
      <w:tr>
        <w:tc>
          <w:tcPr>
            <w:tcW w:type="dxa" w:w="5040"/>
            <w:vAlign w:val="center"/>
            <w:shd w:fill="D9EAF7"/>
          </w:tcPr>
          <w:p>
            <w:pPr>
              <w:spacing w:after="0" w:line="240" w:lineRule="auto"/>
            </w:pPr>
            <w:r/>
            <w:r>
              <w:rPr>
                <w:rFonts w:ascii="Aptos" w:hAnsi="Aptos"/>
                <w:b/>
                <w:sz w:val="19"/>
              </w:rPr>
              <w:t>Final dataset</w:t>
            </w:r>
          </w:p>
        </w:tc>
        <w:tc>
          <w:tcPr>
            <w:tcW w:type="dxa" w:w="5040"/>
            <w:vAlign w:val="center"/>
          </w:tcPr>
          <w:p>
            <w:pPr>
              <w:spacing w:after="0" w:line="240" w:lineRule="auto"/>
            </w:pPr>
            <w:r/>
            <w:r>
              <w:rPr>
                <w:rFonts w:ascii="Aptos" w:hAnsi="Aptos"/>
                <w:b w:val="0"/>
                <w:sz w:val="19"/>
              </w:rPr>
              <w:t>80 firm-year observations; 960 CFCQI decisions</w:t>
            </w:r>
          </w:p>
        </w:tc>
      </w:tr>
    </w:tbl>
    <w:p/>
    <w:tbl>
      <w:tblPr>
        <w:tblStyle w:val="TableGrid"/>
        <w:tblW w:type="auto" w:w="0"/>
        <w:tblLook w:firstColumn="1" w:firstRow="1" w:lastColumn="0" w:lastRow="0" w:noHBand="0" w:noVBand="1" w:val="04A0"/>
      </w:tblPr>
      <w:tblGrid>
        <w:gridCol w:w="10080"/>
      </w:tblGrid>
      <w:tr>
        <w:tc>
          <w:tcPr>
            <w:tcW w:type="dxa" w:w="10080"/>
            <w:shd w:fill="FFF2CC"/>
            <w:vAlign w:val="center"/>
          </w:tcPr>
          <w:p>
            <w:pPr>
              <w:spacing w:after="0" w:line="240" w:lineRule="auto"/>
            </w:pPr>
            <w:r/>
            <w:r>
              <w:rPr>
                <w:rFonts w:ascii="Aptos" w:hAnsi="Aptos"/>
                <w:b w:val="0"/>
                <w:sz w:val="18"/>
              </w:rPr>
              <w:t>This document is the technical research record, not the dissertation. CFCQI is a researcher-developed disclosure index and must not be interpreted as a regulatory compliance percentage. RQ2 results are associational, not causal.</w:t>
            </w:r>
          </w:p>
        </w:tc>
      </w:tr>
    </w:tbl>
    <w:p>
      <w:pPr>
        <w:spacing w:after="0"/>
      </w:pPr>
    </w:p>
    <w:p>
      <w:r>
        <w:br w:type="page"/>
      </w:r>
    </w:p>
    <w:p>
      <w:pPr>
        <w:pStyle w:val="Heading1"/>
        <w:keepNext/>
        <w:keepLines/>
      </w:pPr>
      <w:r>
        <w:t>1. Executive Summary</w:t>
      </w:r>
    </w:p>
    <w:p>
      <w:r>
        <w:t>The technical implementation is complete and reproducible. The final corpus contains 80 verified consolidated group annual reports from 40 climate-sensitive FTSE 350 firms, with two consecutive reporting cycles per firm. Every annual report has a unique SHA-256 hash and all requested reports were publicly available by the report-eligibility cut-off of 31 August 2026. The final supervisor-reviewed sampling frame was frozen on 7 October 2026 using FTSE 350 membership and market-cap ranking; this timing distinction is retained explicitly in the audit trail rather than being concealed.</w:t>
      </w:r>
    </w:p>
    <w:p>
      <w:r>
        <w:t>All 80 firm-years were coded using the frozen 12-item CFCQI instrument, producing 960 item-level decisions. The final mean CFCQI is 51.77 (SD 18.65). The pooled weighted Cohen’s kappa from the 15% blind recode is 0.631; this clears the pre-specified overall threshold, although item-level agreement is uneven and is treated as a methodological limitation.</w:t>
      </w:r>
    </w:p>
    <w:p>
      <w:r>
        <w:t>The pooled RQ2 model explains 47.8% of CFCQI variation. Firm size is positively associated with CFCQI in the primary pooled model (p=0.018), external assurance is not statistically significant (p=0.185), and qualifying board-level sustainability/climate oversight has the largest positive association (approximately +23.8 CFCQI points, p&lt;0.001). The board-oversight result remains strong under all sensitivity checks. The size result remains positive but weakens to p=0.077 in the latest-cycle-only HC3 model, so it should be described as supported in the primary model but somewhat sample-size-sensitive.</w:t>
      </w:r>
    </w:p>
    <w:p>
      <w:r>
        <w:t>For RQ3, the corrected change definition is Latest (T) minus Prior (T1). The mean change is effectively zero, the median change is zero, and the Wilcoxon signed-rank test is non-significant (p=0.896). Excluding Mobico, Tesco, or both does not alter that conclusion.</w:t>
      </w:r>
    </w:p>
    <w:p>
      <w:pPr>
        <w:jc w:val="center"/>
      </w:pPr>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01_cfcqi_distribution.png"/>
                    <pic:cNvPicPr/>
                  </pic:nvPicPr>
                  <pic:blipFill>
                    <a:blip r:embed="rId9"/>
                    <a:stretch>
                      <a:fillRect/>
                    </a:stretch>
                  </pic:blipFill>
                  <pic:spPr>
                    <a:xfrm>
                      <a:off x="0" y="0"/>
                      <a:ext cx="5577840" cy="3585754"/>
                    </a:xfrm>
                    <a:prstGeom prst="rect"/>
                  </pic:spPr>
                </pic:pic>
              </a:graphicData>
            </a:graphic>
          </wp:inline>
        </w:drawing>
      </w:r>
    </w:p>
    <w:p>
      <w:pPr>
        <w:spacing w:after="120"/>
        <w:jc w:val="center"/>
      </w:pPr>
      <w:r>
        <w:rPr>
          <w:i/>
          <w:sz w:val="17"/>
        </w:rPr>
        <w:t>Figure 1. Distribution of CFCQI across the 80 firm-year observations.</w:t>
      </w:r>
    </w:p>
    <w:p>
      <w:pPr>
        <w:pStyle w:val="Heading1"/>
        <w:keepNext/>
        <w:keepLines/>
      </w:pPr>
      <w:r>
        <w:t>2. Research Design and Analytical Architecture</w:t>
      </w:r>
    </w:p>
    <w:p>
      <w:r>
        <w:t>The project uses secondary quantitative research with structured manual content analysis of corporate annual reports. The unit of analysis is the firm-report-year. The workflow combines an auditable Excel evidence layer with Python-based validation and statistical analysis.</w:t>
      </w:r>
    </w:p>
    <w:p>
      <w:pPr>
        <w:pStyle w:val="ListBullet"/>
        <w:spacing w:after="40"/>
      </w:pPr>
      <w:r>
        <w:t>40 sampled non-financial FTSE 350 firms mapped to four TCFD climate-sensitive groups.</w:t>
      </w:r>
    </w:p>
    <w:p>
      <w:pPr>
        <w:pStyle w:val="ListBullet"/>
        <w:spacing w:after="40"/>
      </w:pPr>
      <w:r>
        <w:t>Two consecutive annual reports per firm (T = latest; T1 = prior).</w:t>
      </w:r>
    </w:p>
    <w:p>
      <w:pPr>
        <w:pStyle w:val="ListBullet"/>
        <w:spacing w:after="40"/>
      </w:pPr>
      <w:r>
        <w:t>Twelve CFCQI items scored 0, 1 or 2 under a frozen codebook.</w:t>
      </w:r>
    </w:p>
    <w:p>
      <w:pPr>
        <w:pStyle w:val="ListBullet"/>
        <w:spacing w:after="40"/>
      </w:pPr>
      <w:r>
        <w:t>Firm-level explanatory variables: size, external sustainability assurance and board-level sustainability/climate oversight.</w:t>
      </w:r>
    </w:p>
    <w:p>
      <w:pPr>
        <w:pStyle w:val="ListBullet"/>
        <w:spacing w:after="40"/>
      </w:pPr>
      <w:r>
        <w:t>Controls: leverage, ROA, TCFD group and reporting cycle.</w:t>
      </w:r>
    </w:p>
    <w:p>
      <w:pPr>
        <w:pStyle w:val="ListBullet"/>
        <w:spacing w:after="40"/>
      </w:pPr>
      <w:r>
        <w:t>RQ1: descriptive level/pattern analysis; RQ2: pooled OLS with firm-clustered robust standard errors; RQ3: paired within-firm analysis.</w:t>
      </w:r>
    </w:p>
    <w:p>
      <w:pPr>
        <w:pStyle w:val="Heading1"/>
        <w:keepNext/>
        <w:keepLines/>
      </w:pPr>
      <w:r>
        <w:t>3. Final Sample and Corpus</w:t>
      </w:r>
    </w:p>
    <w:p>
      <w:r>
        <w:t>The supervisor-reviewed final sample differs from the earlier draft list. The implemented sample is the documented market-cap-ranked frozen sample, not the earlier illustrative company list. Transportation contained only nine defensibly mapped eligible firms, so one slot was reallocated to Materials and Buildings, producing a 10/9/11/10 distribution across the four groups.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75B5"/>
          </w:tcPr>
          <w:p>
            <w:pPr>
              <w:spacing w:after="0" w:line="240" w:lineRule="auto"/>
            </w:pPr>
            <w:r/>
            <w:r>
              <w:rPr>
                <w:rFonts w:ascii="Aptos" w:hAnsi="Aptos"/>
                <w:b/>
                <w:color w:val="FFFFFF"/>
                <w:sz w:val="15"/>
              </w:rPr>
              <w:t>TCFD group</w:t>
            </w:r>
          </w:p>
        </w:tc>
        <w:tc>
          <w:tcPr>
            <w:tcW w:type="dxa" w:w="3360"/>
            <w:vAlign w:val="center"/>
            <w:shd w:fill="2F75B5"/>
          </w:tcPr>
          <w:p>
            <w:pPr>
              <w:spacing w:after="0" w:line="240" w:lineRule="auto"/>
            </w:pPr>
            <w:r/>
            <w:r>
              <w:rPr>
                <w:rFonts w:ascii="Aptos" w:hAnsi="Aptos"/>
                <w:b/>
                <w:color w:val="FFFFFF"/>
                <w:sz w:val="15"/>
              </w:rPr>
              <w:t>Firms</w:t>
            </w:r>
          </w:p>
        </w:tc>
        <w:tc>
          <w:tcPr>
            <w:tcW w:type="dxa" w:w="3360"/>
            <w:vAlign w:val="center"/>
            <w:shd w:fill="2F75B5"/>
          </w:tcPr>
          <w:p>
            <w:pPr>
              <w:spacing w:after="0" w:line="240" w:lineRule="auto"/>
            </w:pPr>
            <w:r/>
            <w:r>
              <w:rPr>
                <w:rFonts w:ascii="Aptos" w:hAnsi="Aptos"/>
                <w:b/>
                <w:color w:val="FFFFFF"/>
                <w:sz w:val="15"/>
              </w:rPr>
              <w:t>Final sampled companies</w:t>
            </w:r>
          </w:p>
        </w:tc>
      </w:tr>
      <w:tr>
        <w:tc>
          <w:tcPr>
            <w:tcW w:type="dxa" w:w="3360"/>
            <w:vAlign w:val="center"/>
          </w:tcPr>
          <w:p>
            <w:pPr>
              <w:spacing w:after="0" w:line="240" w:lineRule="auto"/>
            </w:pPr>
            <w:r/>
            <w:r>
              <w:rPr>
                <w:rFonts w:ascii="Aptos" w:hAnsi="Aptos"/>
                <w:b w:val="0"/>
                <w:sz w:val="15"/>
              </w:rPr>
              <w:t>Agriculture Food and Forest Products</w:t>
            </w:r>
          </w:p>
        </w:tc>
        <w:tc>
          <w:tcPr>
            <w:tcW w:type="dxa" w:w="3360"/>
            <w:vAlign w:val="center"/>
          </w:tcPr>
          <w:p>
            <w:pPr>
              <w:spacing w:after="0" w:line="240" w:lineRule="auto"/>
            </w:pPr>
            <w:r/>
            <w:r>
              <w:rPr>
                <w:rFonts w:ascii="Aptos" w:hAnsi="Aptos"/>
                <w:b w:val="0"/>
                <w:sz w:val="15"/>
              </w:rPr>
              <w:t>10</w:t>
            </w:r>
          </w:p>
        </w:tc>
        <w:tc>
          <w:tcPr>
            <w:tcW w:type="dxa" w:w="3360"/>
            <w:vAlign w:val="center"/>
          </w:tcPr>
          <w:p>
            <w:pPr>
              <w:spacing w:after="0" w:line="240" w:lineRule="auto"/>
            </w:pPr>
            <w:r/>
            <w:r>
              <w:rPr>
                <w:rFonts w:ascii="Aptos" w:hAnsi="Aptos"/>
                <w:b w:val="0"/>
                <w:sz w:val="15"/>
              </w:rPr>
              <w:t>Diageo plc, Tesco plc, Coca-Cola HBC AG, Associated British Foods plc, Marks and Spencer Group plc, J Sainsbury plc, Mondi plc, Cranswick plc, Tate &amp; Lyle plc, Ocado Group plc</w:t>
            </w:r>
          </w:p>
        </w:tc>
      </w:tr>
      <w:tr>
        <w:tc>
          <w:tcPr>
            <w:tcW w:type="dxa" w:w="3360"/>
            <w:vAlign w:val="center"/>
          </w:tcPr>
          <w:p>
            <w:pPr>
              <w:spacing w:after="0" w:line="240" w:lineRule="auto"/>
            </w:pPr>
            <w:r/>
            <w:r>
              <w:rPr>
                <w:rFonts w:ascii="Aptos" w:hAnsi="Aptos"/>
                <w:b w:val="0"/>
                <w:sz w:val="15"/>
              </w:rPr>
              <w:t>Energy</w:t>
            </w:r>
          </w:p>
        </w:tc>
        <w:tc>
          <w:tcPr>
            <w:tcW w:type="dxa" w:w="3360"/>
            <w:vAlign w:val="center"/>
          </w:tcPr>
          <w:p>
            <w:pPr>
              <w:spacing w:after="0" w:line="240" w:lineRule="auto"/>
            </w:pPr>
            <w:r/>
            <w:r>
              <w:rPr>
                <w:rFonts w:ascii="Aptos" w:hAnsi="Aptos"/>
                <w:b w:val="0"/>
                <w:sz w:val="15"/>
              </w:rPr>
              <w:t>10</w:t>
            </w:r>
          </w:p>
        </w:tc>
        <w:tc>
          <w:tcPr>
            <w:tcW w:type="dxa" w:w="3360"/>
            <w:vAlign w:val="center"/>
          </w:tcPr>
          <w:p>
            <w:pPr>
              <w:spacing w:after="0" w:line="240" w:lineRule="auto"/>
            </w:pPr>
            <w:r/>
            <w:r>
              <w:rPr>
                <w:rFonts w:ascii="Aptos" w:hAnsi="Aptos"/>
                <w:b w:val="0"/>
                <w:sz w:val="15"/>
              </w:rPr>
              <w:t>Shell plc, BP plc, SSE plc, Centrica plc, DCC plc, Ithaca Energy plc, Harbour Energy plc, Drax Group plc, National Grid plc, Energean plc</w:t>
            </w:r>
          </w:p>
        </w:tc>
      </w:tr>
      <w:tr>
        <w:tc>
          <w:tcPr>
            <w:tcW w:type="dxa" w:w="3360"/>
            <w:vAlign w:val="center"/>
          </w:tcPr>
          <w:p>
            <w:pPr>
              <w:spacing w:after="0" w:line="240" w:lineRule="auto"/>
            </w:pPr>
            <w:r/>
            <w:r>
              <w:rPr>
                <w:rFonts w:ascii="Aptos" w:hAnsi="Aptos"/>
                <w:b w:val="0"/>
                <w:sz w:val="15"/>
              </w:rPr>
              <w:t>Materials and Buildings</w:t>
            </w:r>
          </w:p>
        </w:tc>
        <w:tc>
          <w:tcPr>
            <w:tcW w:type="dxa" w:w="3360"/>
            <w:vAlign w:val="center"/>
          </w:tcPr>
          <w:p>
            <w:pPr>
              <w:spacing w:after="0" w:line="240" w:lineRule="auto"/>
            </w:pPr>
            <w:r/>
            <w:r>
              <w:rPr>
                <w:rFonts w:ascii="Aptos" w:hAnsi="Aptos"/>
                <w:b w:val="0"/>
                <w:sz w:val="15"/>
              </w:rPr>
              <w:t>11</w:t>
            </w:r>
          </w:p>
        </w:tc>
        <w:tc>
          <w:tcPr>
            <w:tcW w:type="dxa" w:w="3360"/>
            <w:vAlign w:val="center"/>
          </w:tcPr>
          <w:p>
            <w:pPr>
              <w:spacing w:after="0" w:line="240" w:lineRule="auto"/>
            </w:pPr>
            <w:r/>
            <w:r>
              <w:rPr>
                <w:rFonts w:ascii="Aptos" w:hAnsi="Aptos"/>
                <w:b w:val="0"/>
                <w:sz w:val="15"/>
              </w:rPr>
              <w:t>Rio Tinto plc, Glencore plc, Anglo American plc, Antofagasta plc, Fresnillo plc, Endeavour Mining plc, Diploma plc, Smiths Group plc, Weir Group plc, Spirax-Sarco Engineering plc, IMI plc</w:t>
            </w:r>
          </w:p>
        </w:tc>
      </w:tr>
      <w:tr>
        <w:tc>
          <w:tcPr>
            <w:tcW w:type="dxa" w:w="3360"/>
            <w:vAlign w:val="center"/>
          </w:tcPr>
          <w:p>
            <w:pPr>
              <w:spacing w:after="0" w:line="240" w:lineRule="auto"/>
            </w:pPr>
            <w:r/>
            <w:r>
              <w:rPr>
                <w:rFonts w:ascii="Aptos" w:hAnsi="Aptos"/>
                <w:b w:val="0"/>
                <w:sz w:val="15"/>
              </w:rPr>
              <w:t>Transportation</w:t>
            </w:r>
          </w:p>
        </w:tc>
        <w:tc>
          <w:tcPr>
            <w:tcW w:type="dxa" w:w="3360"/>
            <w:vAlign w:val="center"/>
          </w:tcPr>
          <w:p>
            <w:pPr>
              <w:spacing w:after="0" w:line="240" w:lineRule="auto"/>
            </w:pPr>
            <w:r/>
            <w:r>
              <w:rPr>
                <w:rFonts w:ascii="Aptos" w:hAnsi="Aptos"/>
                <w:b w:val="0"/>
                <w:sz w:val="15"/>
              </w:rPr>
              <w:t>9</w:t>
            </w:r>
          </w:p>
        </w:tc>
        <w:tc>
          <w:tcPr>
            <w:tcW w:type="dxa" w:w="3360"/>
            <w:vAlign w:val="center"/>
          </w:tcPr>
          <w:p>
            <w:pPr>
              <w:spacing w:after="0" w:line="240" w:lineRule="auto"/>
            </w:pPr>
            <w:r/>
            <w:r>
              <w:rPr>
                <w:rFonts w:ascii="Aptos" w:hAnsi="Aptos"/>
                <w:b w:val="0"/>
                <w:sz w:val="15"/>
              </w:rPr>
              <w:t>International Consolidated Airlines Group SA, easyJet plc, Inchcape plc, Clarkson plc, Wizz Air Holdings plc, Zigup plc, FirstGroup plc, Aston Martin Lagonda Global Holdings plc, Mobico Group plc</w:t>
            </w:r>
          </w:p>
        </w:tc>
      </w:tr>
    </w:tbl>
    <w:p/>
    <w:p>
      <w:r>
        <w:t>Source-corpus validation confirmed 80/80 verified reports, 80/80 unique SHA-256 hashes and zero unresolved duplicate files. Four invalid first-pass files were rejected/replaced during corpus construction: one wrong-year duplicate, two partial M&amp;S files and one truncated Sainsbury’s report.</w:t>
      </w:r>
    </w:p>
    <w:tbl>
      <w:tblPr>
        <w:tblStyle w:val="TableGrid"/>
        <w:tblW w:type="auto" w:w="0"/>
        <w:tblLook w:firstColumn="1" w:firstRow="1" w:lastColumn="0" w:lastRow="0" w:noHBand="0" w:noVBand="1" w:val="04A0"/>
      </w:tblPr>
      <w:tblGrid>
        <w:gridCol w:w="10080"/>
      </w:tblGrid>
      <w:tr>
        <w:tc>
          <w:tcPr>
            <w:tcW w:type="dxa" w:w="10080"/>
            <w:shd w:fill="FFF2CC"/>
            <w:vAlign w:val="center"/>
          </w:tcPr>
          <w:p>
            <w:pPr>
              <w:spacing w:after="0" w:line="240" w:lineRule="auto"/>
            </w:pPr>
            <w:r/>
            <w:r>
              <w:rPr>
                <w:rFonts w:ascii="Aptos" w:hAnsi="Aptos"/>
                <w:b w:val="0"/>
                <w:sz w:val="18"/>
              </w:rPr>
              <w:t>Timing note: report eligibility was checked against 31 August 2026. The final sampling-frame / market-cap freeze used in the completed analysis is 7 October 2026. This distinction must be described explicitly in the methodology if the dissertation discusses a single “cut-off date”.</w:t>
            </w:r>
          </w:p>
        </w:tc>
      </w:tr>
    </w:tbl>
    <w:p>
      <w:pPr>
        <w:spacing w:after="0"/>
      </w:pPr>
    </w:p>
    <w:p>
      <w:pPr>
        <w:pStyle w:val="Heading1"/>
        <w:keepNext/>
        <w:keepLines/>
      </w:pPr>
      <w:r>
        <w:t>4. CFCQI Instrument and Coding Rules</w:t>
      </w:r>
    </w:p>
    <w:p>
      <w:r>
        <w:t>The CFCQI contains 12 dimensions derived from climate-related financial-effects concepts. The scoring scale is consistent across items: 0 = no qualifying financial connection after full-report review; 1 = qualitative or specific but unquantified financial connection; 2 = quantified effect or strong specific financial-statement/planning connection. The codebook permits dual scoring where the same evidence legitimately supports different constructs.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75B5"/>
          </w:tcPr>
          <w:p>
            <w:pPr>
              <w:spacing w:after="0" w:line="240" w:lineRule="auto"/>
            </w:pPr>
            <w:r/>
            <w:r>
              <w:rPr>
                <w:rFonts w:ascii="Aptos" w:hAnsi="Aptos"/>
                <w:b/>
                <w:color w:val="FFFFFF"/>
                <w:sz w:val="16"/>
              </w:rPr>
              <w:t>Item</w:t>
            </w:r>
          </w:p>
        </w:tc>
        <w:tc>
          <w:tcPr>
            <w:tcW w:type="dxa" w:w="5040"/>
            <w:vAlign w:val="center"/>
            <w:shd w:fill="2F75B5"/>
          </w:tcPr>
          <w:p>
            <w:pPr>
              <w:spacing w:after="0" w:line="240" w:lineRule="auto"/>
            </w:pPr>
            <w:r/>
            <w:r>
              <w:rPr>
                <w:rFonts w:ascii="Aptos" w:hAnsi="Aptos"/>
                <w:b/>
                <w:color w:val="FFFFFF"/>
                <w:sz w:val="16"/>
              </w:rPr>
              <w:t>Construct</w:t>
            </w:r>
          </w:p>
        </w:tc>
      </w:tr>
      <w:tr>
        <w:tc>
          <w:tcPr>
            <w:tcW w:type="dxa" w:w="5040"/>
            <w:vAlign w:val="center"/>
          </w:tcPr>
          <w:p>
            <w:pPr>
              <w:spacing w:after="0" w:line="240" w:lineRule="auto"/>
            </w:pPr>
            <w:r/>
            <w:r>
              <w:rPr>
                <w:rFonts w:ascii="Aptos" w:hAnsi="Aptos"/>
                <w:b w:val="0"/>
                <w:sz w:val="16"/>
              </w:rPr>
              <w:t>1</w:t>
            </w:r>
          </w:p>
        </w:tc>
        <w:tc>
          <w:tcPr>
            <w:tcW w:type="dxa" w:w="5040"/>
            <w:vAlign w:val="center"/>
          </w:tcPr>
          <w:p>
            <w:pPr>
              <w:spacing w:after="0" w:line="240" w:lineRule="auto"/>
            </w:pPr>
            <w:r/>
            <w:r>
              <w:rPr>
                <w:rFonts w:ascii="Aptos" w:hAnsi="Aptos"/>
                <w:b w:val="0"/>
                <w:sz w:val="16"/>
              </w:rPr>
              <w:t>Current financial performance</w:t>
            </w:r>
          </w:p>
        </w:tc>
      </w:tr>
      <w:tr>
        <w:tc>
          <w:tcPr>
            <w:tcW w:type="dxa" w:w="5040"/>
            <w:vAlign w:val="center"/>
          </w:tcPr>
          <w:p>
            <w:pPr>
              <w:spacing w:after="0" w:line="240" w:lineRule="auto"/>
            </w:pPr>
            <w:r/>
            <w:r>
              <w:rPr>
                <w:rFonts w:ascii="Aptos" w:hAnsi="Aptos"/>
                <w:b w:val="0"/>
                <w:sz w:val="16"/>
              </w:rPr>
              <w:t>2</w:t>
            </w:r>
          </w:p>
        </w:tc>
        <w:tc>
          <w:tcPr>
            <w:tcW w:type="dxa" w:w="5040"/>
            <w:vAlign w:val="center"/>
          </w:tcPr>
          <w:p>
            <w:pPr>
              <w:spacing w:after="0" w:line="240" w:lineRule="auto"/>
            </w:pPr>
            <w:r/>
            <w:r>
              <w:rPr>
                <w:rFonts w:ascii="Aptos" w:hAnsi="Aptos"/>
                <w:b w:val="0"/>
                <w:sz w:val="16"/>
              </w:rPr>
              <w:t>Current financial position</w:t>
            </w:r>
          </w:p>
        </w:tc>
      </w:tr>
      <w:tr>
        <w:tc>
          <w:tcPr>
            <w:tcW w:type="dxa" w:w="5040"/>
            <w:vAlign w:val="center"/>
          </w:tcPr>
          <w:p>
            <w:pPr>
              <w:spacing w:after="0" w:line="240" w:lineRule="auto"/>
            </w:pPr>
            <w:r/>
            <w:r>
              <w:rPr>
                <w:rFonts w:ascii="Aptos" w:hAnsi="Aptos"/>
                <w:b w:val="0"/>
                <w:sz w:val="16"/>
              </w:rPr>
              <w:t>3</w:t>
            </w:r>
          </w:p>
        </w:tc>
        <w:tc>
          <w:tcPr>
            <w:tcW w:type="dxa" w:w="5040"/>
            <w:vAlign w:val="center"/>
          </w:tcPr>
          <w:p>
            <w:pPr>
              <w:spacing w:after="0" w:line="240" w:lineRule="auto"/>
            </w:pPr>
            <w:r/>
            <w:r>
              <w:rPr>
                <w:rFonts w:ascii="Aptos" w:hAnsi="Aptos"/>
                <w:b w:val="0"/>
                <w:sz w:val="16"/>
              </w:rPr>
              <w:t>Current cash flows</w:t>
            </w:r>
          </w:p>
        </w:tc>
      </w:tr>
      <w:tr>
        <w:tc>
          <w:tcPr>
            <w:tcW w:type="dxa" w:w="5040"/>
            <w:vAlign w:val="center"/>
          </w:tcPr>
          <w:p>
            <w:pPr>
              <w:spacing w:after="0" w:line="240" w:lineRule="auto"/>
            </w:pPr>
            <w:r/>
            <w:r>
              <w:rPr>
                <w:rFonts w:ascii="Aptos" w:hAnsi="Aptos"/>
                <w:b w:val="0"/>
                <w:sz w:val="16"/>
              </w:rPr>
              <w:t>4</w:t>
            </w:r>
          </w:p>
        </w:tc>
        <w:tc>
          <w:tcPr>
            <w:tcW w:type="dxa" w:w="5040"/>
            <w:vAlign w:val="center"/>
          </w:tcPr>
          <w:p>
            <w:pPr>
              <w:spacing w:after="0" w:line="240" w:lineRule="auto"/>
            </w:pPr>
            <w:r/>
            <w:r>
              <w:rPr>
                <w:rFonts w:ascii="Aptos" w:hAnsi="Aptos"/>
                <w:b w:val="0"/>
                <w:sz w:val="16"/>
              </w:rPr>
              <w:t>Anticipated financial performance</w:t>
            </w:r>
          </w:p>
        </w:tc>
      </w:tr>
      <w:tr>
        <w:tc>
          <w:tcPr>
            <w:tcW w:type="dxa" w:w="5040"/>
            <w:vAlign w:val="center"/>
          </w:tcPr>
          <w:p>
            <w:pPr>
              <w:spacing w:after="0" w:line="240" w:lineRule="auto"/>
            </w:pPr>
            <w:r/>
            <w:r>
              <w:rPr>
                <w:rFonts w:ascii="Aptos" w:hAnsi="Aptos"/>
                <w:b w:val="0"/>
                <w:sz w:val="16"/>
              </w:rPr>
              <w:t>5</w:t>
            </w:r>
          </w:p>
        </w:tc>
        <w:tc>
          <w:tcPr>
            <w:tcW w:type="dxa" w:w="5040"/>
            <w:vAlign w:val="center"/>
          </w:tcPr>
          <w:p>
            <w:pPr>
              <w:spacing w:after="0" w:line="240" w:lineRule="auto"/>
            </w:pPr>
            <w:r/>
            <w:r>
              <w:rPr>
                <w:rFonts w:ascii="Aptos" w:hAnsi="Aptos"/>
                <w:b w:val="0"/>
                <w:sz w:val="16"/>
              </w:rPr>
              <w:t>Anticipated financial position</w:t>
            </w:r>
          </w:p>
        </w:tc>
      </w:tr>
      <w:tr>
        <w:tc>
          <w:tcPr>
            <w:tcW w:type="dxa" w:w="5040"/>
            <w:vAlign w:val="center"/>
          </w:tcPr>
          <w:p>
            <w:pPr>
              <w:spacing w:after="0" w:line="240" w:lineRule="auto"/>
            </w:pPr>
            <w:r/>
            <w:r>
              <w:rPr>
                <w:rFonts w:ascii="Aptos" w:hAnsi="Aptos"/>
                <w:b w:val="0"/>
                <w:sz w:val="16"/>
              </w:rPr>
              <w:t>6</w:t>
            </w:r>
          </w:p>
        </w:tc>
        <w:tc>
          <w:tcPr>
            <w:tcW w:type="dxa" w:w="5040"/>
            <w:vAlign w:val="center"/>
          </w:tcPr>
          <w:p>
            <w:pPr>
              <w:spacing w:after="0" w:line="240" w:lineRule="auto"/>
            </w:pPr>
            <w:r/>
            <w:r>
              <w:rPr>
                <w:rFonts w:ascii="Aptos" w:hAnsi="Aptos"/>
                <w:b w:val="0"/>
                <w:sz w:val="16"/>
              </w:rPr>
              <w:t>Anticipated cash flows</w:t>
            </w:r>
          </w:p>
        </w:tc>
      </w:tr>
      <w:tr>
        <w:tc>
          <w:tcPr>
            <w:tcW w:type="dxa" w:w="5040"/>
            <w:vAlign w:val="center"/>
          </w:tcPr>
          <w:p>
            <w:pPr>
              <w:spacing w:after="0" w:line="240" w:lineRule="auto"/>
            </w:pPr>
            <w:r/>
            <w:r>
              <w:rPr>
                <w:rFonts w:ascii="Aptos" w:hAnsi="Aptos"/>
                <w:b w:val="0"/>
                <w:sz w:val="16"/>
              </w:rPr>
              <w:t>7</w:t>
            </w:r>
          </w:p>
        </w:tc>
        <w:tc>
          <w:tcPr>
            <w:tcW w:type="dxa" w:w="5040"/>
            <w:vAlign w:val="center"/>
          </w:tcPr>
          <w:p>
            <w:pPr>
              <w:spacing w:after="0" w:line="240" w:lineRule="auto"/>
            </w:pPr>
            <w:r/>
            <w:r>
              <w:rPr>
                <w:rFonts w:ascii="Aptos" w:hAnsi="Aptos"/>
                <w:b w:val="0"/>
                <w:sz w:val="16"/>
              </w:rPr>
              <w:t>Capital expenditure / allocation</w:t>
            </w:r>
          </w:p>
        </w:tc>
      </w:tr>
      <w:tr>
        <w:tc>
          <w:tcPr>
            <w:tcW w:type="dxa" w:w="5040"/>
            <w:vAlign w:val="center"/>
          </w:tcPr>
          <w:p>
            <w:pPr>
              <w:spacing w:after="0" w:line="240" w:lineRule="auto"/>
            </w:pPr>
            <w:r/>
            <w:r>
              <w:rPr>
                <w:rFonts w:ascii="Aptos" w:hAnsi="Aptos"/>
                <w:b w:val="0"/>
                <w:sz w:val="16"/>
              </w:rPr>
              <w:t>8</w:t>
            </w:r>
          </w:p>
        </w:tc>
        <w:tc>
          <w:tcPr>
            <w:tcW w:type="dxa" w:w="5040"/>
            <w:vAlign w:val="center"/>
          </w:tcPr>
          <w:p>
            <w:pPr>
              <w:spacing w:after="0" w:line="240" w:lineRule="auto"/>
            </w:pPr>
            <w:r/>
            <w:r>
              <w:rPr>
                <w:rFonts w:ascii="Aptos" w:hAnsi="Aptos"/>
                <w:b w:val="0"/>
                <w:sz w:val="16"/>
              </w:rPr>
              <w:t>Asset valuations &amp; impairment</w:t>
            </w:r>
          </w:p>
        </w:tc>
      </w:tr>
      <w:tr>
        <w:tc>
          <w:tcPr>
            <w:tcW w:type="dxa" w:w="5040"/>
            <w:vAlign w:val="center"/>
          </w:tcPr>
          <w:p>
            <w:pPr>
              <w:spacing w:after="0" w:line="240" w:lineRule="auto"/>
            </w:pPr>
            <w:r/>
            <w:r>
              <w:rPr>
                <w:rFonts w:ascii="Aptos" w:hAnsi="Aptos"/>
                <w:b w:val="0"/>
                <w:sz w:val="16"/>
              </w:rPr>
              <w:t>9</w:t>
            </w:r>
          </w:p>
        </w:tc>
        <w:tc>
          <w:tcPr>
            <w:tcW w:type="dxa" w:w="5040"/>
            <w:vAlign w:val="center"/>
          </w:tcPr>
          <w:p>
            <w:pPr>
              <w:spacing w:after="0" w:line="240" w:lineRule="auto"/>
            </w:pPr>
            <w:r/>
            <w:r>
              <w:rPr>
                <w:rFonts w:ascii="Aptos" w:hAnsi="Aptos"/>
                <w:b w:val="0"/>
                <w:sz w:val="16"/>
              </w:rPr>
              <w:t>Provisions / contingencies</w:t>
            </w:r>
          </w:p>
        </w:tc>
      </w:tr>
      <w:tr>
        <w:tc>
          <w:tcPr>
            <w:tcW w:type="dxa" w:w="5040"/>
            <w:vAlign w:val="center"/>
          </w:tcPr>
          <w:p>
            <w:pPr>
              <w:spacing w:after="0" w:line="240" w:lineRule="auto"/>
            </w:pPr>
            <w:r/>
            <w:r>
              <w:rPr>
                <w:rFonts w:ascii="Aptos" w:hAnsi="Aptos"/>
                <w:b w:val="0"/>
                <w:sz w:val="16"/>
              </w:rPr>
              <w:t>10</w:t>
            </w:r>
          </w:p>
        </w:tc>
        <w:tc>
          <w:tcPr>
            <w:tcW w:type="dxa" w:w="5040"/>
            <w:vAlign w:val="center"/>
          </w:tcPr>
          <w:p>
            <w:pPr>
              <w:spacing w:after="0" w:line="240" w:lineRule="auto"/>
            </w:pPr>
            <w:r/>
            <w:r>
              <w:rPr>
                <w:rFonts w:ascii="Aptos" w:hAnsi="Aptos"/>
                <w:b w:val="0"/>
                <w:sz w:val="16"/>
              </w:rPr>
              <w:t>Carbon pricing / regulatory costs</w:t>
            </w:r>
          </w:p>
        </w:tc>
      </w:tr>
      <w:tr>
        <w:tc>
          <w:tcPr>
            <w:tcW w:type="dxa" w:w="5040"/>
            <w:vAlign w:val="center"/>
          </w:tcPr>
          <w:p>
            <w:pPr>
              <w:spacing w:after="0" w:line="240" w:lineRule="auto"/>
            </w:pPr>
            <w:r/>
            <w:r>
              <w:rPr>
                <w:rFonts w:ascii="Aptos" w:hAnsi="Aptos"/>
                <w:b w:val="0"/>
                <w:sz w:val="16"/>
              </w:rPr>
              <w:t>11</w:t>
            </w:r>
          </w:p>
        </w:tc>
        <w:tc>
          <w:tcPr>
            <w:tcW w:type="dxa" w:w="5040"/>
            <w:vAlign w:val="center"/>
          </w:tcPr>
          <w:p>
            <w:pPr>
              <w:spacing w:after="0" w:line="240" w:lineRule="auto"/>
            </w:pPr>
            <w:r/>
            <w:r>
              <w:rPr>
                <w:rFonts w:ascii="Aptos" w:hAnsi="Aptos"/>
                <w:b w:val="0"/>
                <w:sz w:val="16"/>
              </w:rPr>
              <w:t>Financial planning integration</w:t>
            </w:r>
          </w:p>
        </w:tc>
      </w:tr>
      <w:tr>
        <w:tc>
          <w:tcPr>
            <w:tcW w:type="dxa" w:w="5040"/>
            <w:vAlign w:val="center"/>
          </w:tcPr>
          <w:p>
            <w:pPr>
              <w:spacing w:after="0" w:line="240" w:lineRule="auto"/>
            </w:pPr>
            <w:r/>
            <w:r>
              <w:rPr>
                <w:rFonts w:ascii="Aptos" w:hAnsi="Aptos"/>
                <w:b w:val="0"/>
                <w:sz w:val="16"/>
              </w:rPr>
              <w:t>12</w:t>
            </w:r>
          </w:p>
        </w:tc>
        <w:tc>
          <w:tcPr>
            <w:tcW w:type="dxa" w:w="5040"/>
            <w:vAlign w:val="center"/>
          </w:tcPr>
          <w:p>
            <w:pPr>
              <w:spacing w:after="0" w:line="240" w:lineRule="auto"/>
            </w:pPr>
            <w:r/>
            <w:r>
              <w:rPr>
                <w:rFonts w:ascii="Aptos" w:hAnsi="Aptos"/>
                <w:b w:val="0"/>
                <w:sz w:val="16"/>
              </w:rPr>
              <w:t>Quantified scenario analysis</w:t>
            </w:r>
          </w:p>
        </w:tc>
      </w:tr>
    </w:tbl>
    <w:p>
      <w:r>
        <w:t>CFCQI is calculated as the sum of the 12 item scores divided by the maximum raw score of 24 and multiplied by 100. The final evidence audit contains exactly 960 decisions. A final QA pass confirmed that every non-zero score has a page reference and that every evidence score matches the locked dataset.</w:t>
      </w:r>
    </w:p>
    <w:p>
      <w:pPr>
        <w:pStyle w:val="Heading1"/>
        <w:keepNext/>
        <w:keepLines/>
      </w:pPr>
      <w:r>
        <w:t>5. Evidence Audit and Quality-Control Corrections</w:t>
      </w:r>
    </w:p>
    <w:p>
      <w:r>
        <w:t>A final automated audit cross-checked the 80 evidence files against the locked dataset. It confirmed 960/960 item decisions. Three documentation issues were corrected without changing any underlying item score:</w:t>
      </w:r>
    </w:p>
    <w:p>
      <w:pPr>
        <w:pStyle w:val="ListBullet"/>
        <w:spacing w:after="40"/>
      </w:pPr>
      <w:r>
        <w:t>Mobico F019-T1 item 6 had a valid qualitative future cash-flow rationale but the evidence table omitted the page reference; pages 73 and 183 were added.</w:t>
      </w:r>
    </w:p>
    <w:p>
      <w:pPr>
        <w:pStyle w:val="ListBullet"/>
        <w:spacing w:after="40"/>
      </w:pPr>
      <w:r>
        <w:t>Weir Group F029 T and T1 contained stale summary lines reporting raw score 17 / CFCQI 70.8, while their 12 item scores correctly summed to 15 / 62.5. The summary lines were corrected; the locked dataset had already been correct.</w:t>
      </w:r>
    </w:p>
    <w:p>
      <w:pPr>
        <w:pStyle w:val="ListBullet"/>
        <w:spacing w:after="40"/>
      </w:pPr>
      <w:r>
        <w:t>The original RQ3 script calculated T1−T while describing it as longitudinal change. It was corrected to Latest−Prior. The Wilcoxon p-value is unaffected, but item-level change signs are now correct.</w:t>
      </w:r>
    </w:p>
    <w:p>
      <w:pPr>
        <w:pStyle w:val="Heading1"/>
        <w:keepNext/>
        <w:keepLines/>
      </w:pPr>
      <w:r>
        <w:t>6. Firm-Level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75B5"/>
          </w:tcPr>
          <w:p>
            <w:pPr>
              <w:spacing w:after="0" w:line="240" w:lineRule="auto"/>
            </w:pPr>
            <w:r/>
            <w:r>
              <w:rPr>
                <w:rFonts w:ascii="Aptos" w:hAnsi="Aptos"/>
                <w:b/>
                <w:color w:val="FFFFFF"/>
                <w:sz w:val="16"/>
              </w:rPr>
              <w:t>Variable</w:t>
            </w:r>
          </w:p>
        </w:tc>
        <w:tc>
          <w:tcPr>
            <w:tcW w:type="dxa" w:w="3360"/>
            <w:vAlign w:val="center"/>
            <w:shd w:fill="2F75B5"/>
          </w:tcPr>
          <w:p>
            <w:pPr>
              <w:spacing w:after="0" w:line="240" w:lineRule="auto"/>
            </w:pPr>
            <w:r/>
            <w:r>
              <w:rPr>
                <w:rFonts w:ascii="Aptos" w:hAnsi="Aptos"/>
                <w:b/>
                <w:color w:val="FFFFFF"/>
                <w:sz w:val="16"/>
              </w:rPr>
              <w:t>Operationalisation</w:t>
            </w:r>
          </w:p>
        </w:tc>
        <w:tc>
          <w:tcPr>
            <w:tcW w:type="dxa" w:w="3360"/>
            <w:vAlign w:val="center"/>
            <w:shd w:fill="2F75B5"/>
          </w:tcPr>
          <w:p>
            <w:pPr>
              <w:spacing w:after="0" w:line="240" w:lineRule="auto"/>
            </w:pPr>
            <w:r/>
            <w:r>
              <w:rPr>
                <w:rFonts w:ascii="Aptos" w:hAnsi="Aptos"/>
                <w:b/>
                <w:color w:val="FFFFFF"/>
                <w:sz w:val="16"/>
              </w:rPr>
              <w:t>Implementation note</w:t>
            </w:r>
          </w:p>
        </w:tc>
      </w:tr>
      <w:tr>
        <w:tc>
          <w:tcPr>
            <w:tcW w:type="dxa" w:w="3360"/>
            <w:vAlign w:val="center"/>
          </w:tcPr>
          <w:p>
            <w:pPr>
              <w:spacing w:after="0" w:line="240" w:lineRule="auto"/>
            </w:pPr>
            <w:r/>
            <w:r>
              <w:rPr>
                <w:rFonts w:ascii="Aptos" w:hAnsi="Aptos"/>
                <w:b w:val="0"/>
                <w:sz w:val="16"/>
              </w:rPr>
              <w:t>Size</w:t>
            </w:r>
          </w:p>
        </w:tc>
        <w:tc>
          <w:tcPr>
            <w:tcW w:type="dxa" w:w="3360"/>
            <w:vAlign w:val="center"/>
          </w:tcPr>
          <w:p>
            <w:pPr>
              <w:spacing w:after="0" w:line="240" w:lineRule="auto"/>
            </w:pPr>
            <w:r/>
            <w:r>
              <w:rPr>
                <w:rFonts w:ascii="Aptos" w:hAnsi="Aptos"/>
                <w:b w:val="0"/>
                <w:sz w:val="16"/>
              </w:rPr>
              <w:t>ln(total assets in £m)</w:t>
            </w:r>
          </w:p>
        </w:tc>
        <w:tc>
          <w:tcPr>
            <w:tcW w:type="dxa" w:w="3360"/>
            <w:vAlign w:val="center"/>
          </w:tcPr>
          <w:p>
            <w:pPr>
              <w:spacing w:after="0" w:line="240" w:lineRule="auto"/>
            </w:pPr>
            <w:r/>
            <w:r>
              <w:rPr>
                <w:rFonts w:ascii="Aptos" w:hAnsi="Aptos"/>
                <w:b w:val="0"/>
                <w:sz w:val="16"/>
              </w:rPr>
              <w:t>Non-GBP reporters converted to GBP using documented ECB reference rates at balance-sheet dates.</w:t>
            </w:r>
          </w:p>
        </w:tc>
      </w:tr>
      <w:tr>
        <w:tc>
          <w:tcPr>
            <w:tcW w:type="dxa" w:w="3360"/>
            <w:vAlign w:val="center"/>
          </w:tcPr>
          <w:p>
            <w:pPr>
              <w:spacing w:after="0" w:line="240" w:lineRule="auto"/>
            </w:pPr>
            <w:r/>
            <w:r>
              <w:rPr>
                <w:rFonts w:ascii="Aptos" w:hAnsi="Aptos"/>
                <w:b w:val="0"/>
                <w:sz w:val="16"/>
              </w:rPr>
              <w:t>External assurance</w:t>
            </w:r>
          </w:p>
        </w:tc>
        <w:tc>
          <w:tcPr>
            <w:tcW w:type="dxa" w:w="3360"/>
            <w:vAlign w:val="center"/>
          </w:tcPr>
          <w:p>
            <w:pPr>
              <w:spacing w:after="0" w:line="240" w:lineRule="auto"/>
            </w:pPr>
            <w:r/>
            <w:r>
              <w:rPr>
                <w:rFonts w:ascii="Aptos" w:hAnsi="Aptos"/>
                <w:b w:val="0"/>
                <w:sz w:val="16"/>
              </w:rPr>
              <w:t>0/1</w:t>
            </w:r>
          </w:p>
        </w:tc>
        <w:tc>
          <w:tcPr>
            <w:tcW w:type="dxa" w:w="3360"/>
            <w:vAlign w:val="center"/>
          </w:tcPr>
          <w:p>
            <w:pPr>
              <w:spacing w:after="0" w:line="240" w:lineRule="auto"/>
            </w:pPr>
            <w:r/>
            <w:r>
              <w:rPr>
                <w:rFonts w:ascii="Aptos" w:hAnsi="Aptos"/>
                <w:b w:val="0"/>
                <w:sz w:val="16"/>
              </w:rPr>
              <w:t>1 where independent assurance covers sustainability/environmental subject matter; statutory audit alone does not qualify.</w:t>
            </w:r>
          </w:p>
        </w:tc>
      </w:tr>
      <w:tr>
        <w:tc>
          <w:tcPr>
            <w:tcW w:type="dxa" w:w="3360"/>
            <w:vAlign w:val="center"/>
          </w:tcPr>
          <w:p>
            <w:pPr>
              <w:spacing w:after="0" w:line="240" w:lineRule="auto"/>
            </w:pPr>
            <w:r/>
            <w:r>
              <w:rPr>
                <w:rFonts w:ascii="Aptos" w:hAnsi="Aptos"/>
                <w:b w:val="0"/>
                <w:sz w:val="16"/>
              </w:rPr>
              <w:t>Board oversight</w:t>
            </w:r>
          </w:p>
        </w:tc>
        <w:tc>
          <w:tcPr>
            <w:tcW w:type="dxa" w:w="3360"/>
            <w:vAlign w:val="center"/>
          </w:tcPr>
          <w:p>
            <w:pPr>
              <w:spacing w:after="0" w:line="240" w:lineRule="auto"/>
            </w:pPr>
            <w:r/>
            <w:r>
              <w:rPr>
                <w:rFonts w:ascii="Aptos" w:hAnsi="Aptos"/>
                <w:b w:val="0"/>
                <w:sz w:val="16"/>
              </w:rPr>
              <w:t>0/1</w:t>
            </w:r>
          </w:p>
        </w:tc>
        <w:tc>
          <w:tcPr>
            <w:tcW w:type="dxa" w:w="3360"/>
            <w:vAlign w:val="center"/>
          </w:tcPr>
          <w:p>
            <w:pPr>
              <w:spacing w:after="0" w:line="240" w:lineRule="auto"/>
            </w:pPr>
            <w:r/>
            <w:r>
              <w:rPr>
                <w:rFonts w:ascii="Aptos" w:hAnsi="Aptos"/>
                <w:b w:val="0"/>
                <w:sz w:val="16"/>
              </w:rPr>
              <w:t>1 for dedicated/named board committee with explicit sustainability/climate/environment remit.</w:t>
            </w:r>
          </w:p>
        </w:tc>
      </w:tr>
      <w:tr>
        <w:tc>
          <w:tcPr>
            <w:tcW w:type="dxa" w:w="3360"/>
            <w:vAlign w:val="center"/>
          </w:tcPr>
          <w:p>
            <w:pPr>
              <w:spacing w:after="0" w:line="240" w:lineRule="auto"/>
            </w:pPr>
            <w:r/>
            <w:r>
              <w:rPr>
                <w:rFonts w:ascii="Aptos" w:hAnsi="Aptos"/>
                <w:b w:val="0"/>
                <w:sz w:val="16"/>
              </w:rPr>
              <w:t>Leverage</w:t>
            </w:r>
          </w:p>
        </w:tc>
        <w:tc>
          <w:tcPr>
            <w:tcW w:type="dxa" w:w="3360"/>
            <w:vAlign w:val="center"/>
          </w:tcPr>
          <w:p>
            <w:pPr>
              <w:spacing w:after="0" w:line="240" w:lineRule="auto"/>
            </w:pPr>
            <w:r/>
            <w:r>
              <w:rPr>
                <w:rFonts w:ascii="Aptos" w:hAnsi="Aptos"/>
                <w:b w:val="0"/>
                <w:sz w:val="16"/>
              </w:rPr>
              <w:t>Interest-bearing debt / total assets</w:t>
            </w:r>
          </w:p>
        </w:tc>
        <w:tc>
          <w:tcPr>
            <w:tcW w:type="dxa" w:w="3360"/>
            <w:vAlign w:val="center"/>
          </w:tcPr>
          <w:p>
            <w:pPr>
              <w:spacing w:after="0" w:line="240" w:lineRule="auto"/>
            </w:pPr>
            <w:r/>
            <w:r>
              <w:rPr>
                <w:rFonts w:ascii="Aptos" w:hAnsi="Aptos"/>
                <w:b w:val="0"/>
                <w:sz w:val="16"/>
              </w:rPr>
              <w:t>Bank overdrafts included; lease liabilities excluded where separately disclosed; documented Wizz Air exception where inseparable.</w:t>
            </w:r>
          </w:p>
        </w:tc>
      </w:tr>
      <w:tr>
        <w:tc>
          <w:tcPr>
            <w:tcW w:type="dxa" w:w="3360"/>
            <w:vAlign w:val="center"/>
          </w:tcPr>
          <w:p>
            <w:pPr>
              <w:spacing w:after="0" w:line="240" w:lineRule="auto"/>
            </w:pPr>
            <w:r/>
            <w:r>
              <w:rPr>
                <w:rFonts w:ascii="Aptos" w:hAnsi="Aptos"/>
                <w:b w:val="0"/>
                <w:sz w:val="16"/>
              </w:rPr>
              <w:t>ROA</w:t>
            </w:r>
          </w:p>
        </w:tc>
        <w:tc>
          <w:tcPr>
            <w:tcW w:type="dxa" w:w="3360"/>
            <w:vAlign w:val="center"/>
          </w:tcPr>
          <w:p>
            <w:pPr>
              <w:spacing w:after="0" w:line="240" w:lineRule="auto"/>
            </w:pPr>
            <w:r/>
            <w:r>
              <w:rPr>
                <w:rFonts w:ascii="Aptos" w:hAnsi="Aptos"/>
                <w:b w:val="0"/>
                <w:sz w:val="16"/>
              </w:rPr>
              <w:t>Net income attributable to owners / total assets</w:t>
            </w:r>
          </w:p>
        </w:tc>
        <w:tc>
          <w:tcPr>
            <w:tcW w:type="dxa" w:w="3360"/>
            <w:vAlign w:val="center"/>
          </w:tcPr>
          <w:p>
            <w:pPr>
              <w:spacing w:after="0" w:line="240" w:lineRule="auto"/>
            </w:pPr>
            <w:r/>
            <w:r>
              <w:rPr>
                <w:rFonts w:ascii="Aptos" w:hAnsi="Aptos"/>
                <w:b w:val="0"/>
                <w:sz w:val="16"/>
              </w:rPr>
              <w:t>Negative for loss-making firm-years.</w:t>
            </w:r>
          </w:p>
        </w:tc>
      </w:tr>
    </w:tbl>
    <w:p>
      <w:r>
        <w:t>All 80 rows have complete model variables. The validation pass found no missing values, no duplicate firm-cycle records, no invalid 0–2 item values and no CFCQI formula mismatches.</w:t>
      </w:r>
    </w:p>
    <w:p>
      <w:pPr>
        <w:pStyle w:val="Heading1"/>
        <w:keepNext/>
        <w:keepLines/>
      </w:pPr>
      <w:r>
        <w:t>7. Data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F75B5"/>
          </w:tcPr>
          <w:p>
            <w:pPr>
              <w:spacing w:after="0" w:line="240" w:lineRule="auto"/>
            </w:pPr>
            <w:r/>
            <w:r>
              <w:rPr>
                <w:rFonts w:ascii="Aptos" w:hAnsi="Aptos"/>
                <w:b/>
                <w:color w:val="FFFFFF"/>
                <w:sz w:val="16"/>
              </w:rPr>
              <w:t>Check</w:t>
            </w:r>
          </w:p>
        </w:tc>
        <w:tc>
          <w:tcPr>
            <w:tcW w:type="dxa" w:w="2520"/>
            <w:vAlign w:val="center"/>
            <w:shd w:fill="2F75B5"/>
          </w:tcPr>
          <w:p>
            <w:pPr>
              <w:spacing w:after="0" w:line="240" w:lineRule="auto"/>
            </w:pPr>
            <w:r/>
            <w:r>
              <w:rPr>
                <w:rFonts w:ascii="Aptos" w:hAnsi="Aptos"/>
                <w:b/>
                <w:color w:val="FFFFFF"/>
                <w:sz w:val="16"/>
              </w:rPr>
              <w:t>Observed</w:t>
            </w:r>
          </w:p>
        </w:tc>
        <w:tc>
          <w:tcPr>
            <w:tcW w:type="dxa" w:w="2520"/>
            <w:vAlign w:val="center"/>
            <w:shd w:fill="2F75B5"/>
          </w:tcPr>
          <w:p>
            <w:pPr>
              <w:spacing w:after="0" w:line="240" w:lineRule="auto"/>
            </w:pPr>
            <w:r/>
            <w:r>
              <w:rPr>
                <w:rFonts w:ascii="Aptos" w:hAnsi="Aptos"/>
                <w:b/>
                <w:color w:val="FFFFFF"/>
                <w:sz w:val="16"/>
              </w:rPr>
              <w:t>Expected</w:t>
            </w:r>
          </w:p>
        </w:tc>
        <w:tc>
          <w:tcPr>
            <w:tcW w:type="dxa" w:w="2520"/>
            <w:vAlign w:val="center"/>
            <w:shd w:fill="2F75B5"/>
          </w:tcPr>
          <w:p>
            <w:pPr>
              <w:spacing w:after="0" w:line="240" w:lineRule="auto"/>
            </w:pPr>
            <w:r/>
            <w:r>
              <w:rPr>
                <w:rFonts w:ascii="Aptos" w:hAnsi="Aptos"/>
                <w:b/>
                <w:color w:val="FFFFFF"/>
                <w:sz w:val="16"/>
              </w:rPr>
              <w:t>Status</w:t>
            </w:r>
          </w:p>
        </w:tc>
      </w:tr>
      <w:tr>
        <w:tc>
          <w:tcPr>
            <w:tcW w:type="dxa" w:w="2520"/>
            <w:vAlign w:val="center"/>
          </w:tcPr>
          <w:p>
            <w:pPr>
              <w:spacing w:after="0" w:line="240" w:lineRule="auto"/>
            </w:pPr>
            <w:r/>
            <w:r>
              <w:rPr>
                <w:rFonts w:ascii="Aptos" w:hAnsi="Aptos"/>
                <w:b w:val="0"/>
                <w:sz w:val="16"/>
              </w:rPr>
              <w:t>Rows in locked dataset</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Unique firms</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T observations</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T1 observations</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40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Duplicate firm-cycle rows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Missing CFCQI item values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Invalid CFCQI item values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Raw-score formula mismatches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CFCQI formula mismatches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Missing model variables</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Evidence rows</w:t>
            </w:r>
          </w:p>
        </w:tc>
        <w:tc>
          <w:tcPr>
            <w:tcW w:type="dxa" w:w="2520"/>
            <w:vAlign w:val="center"/>
          </w:tcPr>
          <w:p>
            <w:pPr>
              <w:spacing w:after="0" w:line="240" w:lineRule="auto"/>
            </w:pPr>
            <w:r/>
            <w:r>
              <w:rPr>
                <w:rFonts w:ascii="Aptos" w:hAnsi="Aptos"/>
                <w:b w:val="0"/>
                <w:sz w:val="16"/>
              </w:rPr>
              <w:t>960</w:t>
            </w:r>
          </w:p>
        </w:tc>
        <w:tc>
          <w:tcPr>
            <w:tcW w:type="dxa" w:w="2520"/>
            <w:vAlign w:val="center"/>
          </w:tcPr>
          <w:p>
            <w:pPr>
              <w:spacing w:after="0" w:line="240" w:lineRule="auto"/>
            </w:pPr>
            <w:r/>
            <w:r>
              <w:rPr>
                <w:rFonts w:ascii="Aptos" w:hAnsi="Aptos"/>
                <w:b w:val="0"/>
                <w:sz w:val="16"/>
              </w:rPr>
              <w:t>960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Non-zero evidence without page</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Unique report hashes</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PASS</w:t>
            </w:r>
          </w:p>
        </w:tc>
      </w:tr>
      <w:tr>
        <w:tc>
          <w:tcPr>
            <w:tcW w:type="dxa" w:w="2520"/>
            <w:vAlign w:val="center"/>
          </w:tcPr>
          <w:p>
            <w:pPr>
              <w:spacing w:after="0" w:line="240" w:lineRule="auto"/>
            </w:pPr>
            <w:r/>
            <w:r>
              <w:rPr>
                <w:rFonts w:ascii="Aptos" w:hAnsi="Aptos"/>
                <w:b w:val="0"/>
                <w:sz w:val="16"/>
              </w:rPr>
              <w:t>Included verified reports</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80</w:t>
            </w:r>
          </w:p>
        </w:tc>
        <w:tc>
          <w:tcPr>
            <w:tcW w:type="dxa" w:w="2520"/>
            <w:vAlign w:val="center"/>
          </w:tcPr>
          <w:p>
            <w:pPr>
              <w:spacing w:after="0" w:line="240" w:lineRule="auto"/>
            </w:pPr>
            <w:r/>
            <w:r>
              <w:rPr>
                <w:rFonts w:ascii="Aptos" w:hAnsi="Aptos"/>
                <w:b w:val="0"/>
                <w:sz w:val="16"/>
              </w:rPr>
              <w:t>PASS</w:t>
            </w:r>
          </w:p>
        </w:tc>
      </w:tr>
    </w:tbl>
    <w:p>
      <w:r>
        <w:t>All automated final validation checks passed.</w:t>
      </w:r>
    </w:p>
    <w:p>
      <w:pPr>
        <w:pStyle w:val="Heading1"/>
        <w:keepNext/>
        <w:keepLines/>
      </w:pPr>
      <w:r>
        <w:t>8. Reliability Assessment</w:t>
      </w:r>
    </w:p>
    <w:p>
      <w:r>
        <w:t>Twelve reports (15% of the corpus) were blindly re-coded. Across 144 item comparisons, exact agreement was 66.7% and pooled weighted Cohen’s κ was 0.631. The pre-set overall κ threshold of 0.60 was therefore met.</w:t>
      </w:r>
    </w:p>
    <w:p>
      <w:r>
        <w:t>However, reliability is not uniform across the instrument. Mean item-level κ was 0.306 and median item-level κ was 0.359; several individual items have weak or negative κ values. On the 12 re-coded reports, the correlation between original and re-coded total CFCQI was moderate (Pearson r=0.502), and the mean absolute total-score difference was 10.76 CFCQI points. These diagnostics should be acknowledged in the methodology/limitations rather than relying only on the pooled κ.</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75B5"/>
          </w:tcPr>
          <w:p>
            <w:pPr>
              <w:spacing w:after="0" w:line="240" w:lineRule="auto"/>
            </w:pPr>
            <w:r/>
            <w:r>
              <w:rPr>
                <w:rFonts w:ascii="Aptos" w:hAnsi="Aptos"/>
                <w:b/>
                <w:color w:val="FFFFFF"/>
                <w:sz w:val="15"/>
              </w:rPr>
              <w:t>Item</w:t>
            </w:r>
          </w:p>
        </w:tc>
        <w:tc>
          <w:tcPr>
            <w:tcW w:type="dxa" w:w="2016"/>
            <w:vAlign w:val="center"/>
            <w:shd w:fill="2F75B5"/>
          </w:tcPr>
          <w:p>
            <w:pPr>
              <w:spacing w:after="0" w:line="240" w:lineRule="auto"/>
            </w:pPr>
            <w:r/>
            <w:r>
              <w:rPr>
                <w:rFonts w:ascii="Aptos" w:hAnsi="Aptos"/>
                <w:b/>
                <w:color w:val="FFFFFF"/>
                <w:sz w:val="15"/>
              </w:rPr>
              <w:t>Label</w:t>
            </w:r>
          </w:p>
        </w:tc>
        <w:tc>
          <w:tcPr>
            <w:tcW w:type="dxa" w:w="2016"/>
            <w:vAlign w:val="center"/>
            <w:shd w:fill="2F75B5"/>
          </w:tcPr>
          <w:p>
            <w:pPr>
              <w:spacing w:after="0" w:line="240" w:lineRule="auto"/>
            </w:pPr>
            <w:r/>
            <w:r>
              <w:rPr>
                <w:rFonts w:ascii="Aptos" w:hAnsi="Aptos"/>
                <w:b/>
                <w:color w:val="FFFFFF"/>
                <w:sz w:val="15"/>
              </w:rPr>
              <w:t>n</w:t>
            </w:r>
          </w:p>
        </w:tc>
        <w:tc>
          <w:tcPr>
            <w:tcW w:type="dxa" w:w="2016"/>
            <w:vAlign w:val="center"/>
            <w:shd w:fill="2F75B5"/>
          </w:tcPr>
          <w:p>
            <w:pPr>
              <w:spacing w:after="0" w:line="240" w:lineRule="auto"/>
            </w:pPr>
            <w:r/>
            <w:r>
              <w:rPr>
                <w:rFonts w:ascii="Aptos" w:hAnsi="Aptos"/>
                <w:b/>
                <w:color w:val="FFFFFF"/>
                <w:sz w:val="15"/>
              </w:rPr>
              <w:t>Exact agreement %</w:t>
            </w:r>
          </w:p>
        </w:tc>
        <w:tc>
          <w:tcPr>
            <w:tcW w:type="dxa" w:w="2016"/>
            <w:vAlign w:val="center"/>
            <w:shd w:fill="2F75B5"/>
          </w:tcPr>
          <w:p>
            <w:pPr>
              <w:spacing w:after="0" w:line="240" w:lineRule="auto"/>
            </w:pPr>
            <w:r/>
            <w:r>
              <w:rPr>
                <w:rFonts w:ascii="Aptos" w:hAnsi="Aptos"/>
                <w:b/>
                <w:color w:val="FFFFFF"/>
                <w:sz w:val="15"/>
              </w:rPr>
              <w:t>Weighted κ</w:t>
            </w:r>
          </w:p>
        </w:tc>
      </w:tr>
      <w:tr>
        <w:tc>
          <w:tcPr>
            <w:tcW w:type="dxa" w:w="2016"/>
            <w:vAlign w:val="center"/>
          </w:tcPr>
          <w:p>
            <w:pPr>
              <w:spacing w:after="0" w:line="240" w:lineRule="auto"/>
            </w:pPr>
            <w:r/>
            <w:r>
              <w:rPr>
                <w:rFonts w:ascii="Aptos" w:hAnsi="Aptos"/>
                <w:b w:val="0"/>
                <w:sz w:val="15"/>
              </w:rPr>
              <w:t>item1</w:t>
            </w:r>
          </w:p>
        </w:tc>
        <w:tc>
          <w:tcPr>
            <w:tcW w:type="dxa" w:w="2016"/>
            <w:vAlign w:val="center"/>
          </w:tcPr>
          <w:p>
            <w:pPr>
              <w:spacing w:after="0" w:line="240" w:lineRule="auto"/>
            </w:pPr>
            <w:r/>
            <w:r>
              <w:rPr>
                <w:rFonts w:ascii="Aptos" w:hAnsi="Aptos"/>
                <w:b w:val="0"/>
                <w:sz w:val="15"/>
              </w:rPr>
              <w:t>Current financial performance</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50.0</w:t>
            </w:r>
          </w:p>
        </w:tc>
        <w:tc>
          <w:tcPr>
            <w:tcW w:type="dxa" w:w="2016"/>
            <w:vAlign w:val="center"/>
          </w:tcPr>
          <w:p>
            <w:pPr>
              <w:spacing w:after="0" w:line="240" w:lineRule="auto"/>
            </w:pPr>
            <w:r/>
            <w:r>
              <w:rPr>
                <w:rFonts w:ascii="Aptos" w:hAnsi="Aptos"/>
                <w:b w:val="0"/>
                <w:sz w:val="15"/>
              </w:rPr>
              <w:t>-0.286</w:t>
            </w:r>
          </w:p>
        </w:tc>
      </w:tr>
      <w:tr>
        <w:tc>
          <w:tcPr>
            <w:tcW w:type="dxa" w:w="2016"/>
            <w:vAlign w:val="center"/>
          </w:tcPr>
          <w:p>
            <w:pPr>
              <w:spacing w:after="0" w:line="240" w:lineRule="auto"/>
            </w:pPr>
            <w:r/>
            <w:r>
              <w:rPr>
                <w:rFonts w:ascii="Aptos" w:hAnsi="Aptos"/>
                <w:b w:val="0"/>
                <w:sz w:val="15"/>
              </w:rPr>
              <w:t>item2</w:t>
            </w:r>
          </w:p>
        </w:tc>
        <w:tc>
          <w:tcPr>
            <w:tcW w:type="dxa" w:w="2016"/>
            <w:vAlign w:val="center"/>
          </w:tcPr>
          <w:p>
            <w:pPr>
              <w:spacing w:after="0" w:line="240" w:lineRule="auto"/>
            </w:pPr>
            <w:r/>
            <w:r>
              <w:rPr>
                <w:rFonts w:ascii="Aptos" w:hAnsi="Aptos"/>
                <w:b w:val="0"/>
                <w:sz w:val="15"/>
              </w:rPr>
              <w:t>Current financial position</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75.0</w:t>
            </w:r>
          </w:p>
        </w:tc>
        <w:tc>
          <w:tcPr>
            <w:tcW w:type="dxa" w:w="2016"/>
            <w:vAlign w:val="center"/>
          </w:tcPr>
          <w:p>
            <w:pPr>
              <w:spacing w:after="0" w:line="240" w:lineRule="auto"/>
            </w:pPr>
            <w:r/>
            <w:r>
              <w:rPr>
                <w:rFonts w:ascii="Aptos" w:hAnsi="Aptos"/>
                <w:b w:val="0"/>
                <w:sz w:val="15"/>
              </w:rPr>
              <w:t>-0.091</w:t>
            </w:r>
          </w:p>
        </w:tc>
      </w:tr>
      <w:tr>
        <w:tc>
          <w:tcPr>
            <w:tcW w:type="dxa" w:w="2016"/>
            <w:vAlign w:val="center"/>
          </w:tcPr>
          <w:p>
            <w:pPr>
              <w:spacing w:after="0" w:line="240" w:lineRule="auto"/>
            </w:pPr>
            <w:r/>
            <w:r>
              <w:rPr>
                <w:rFonts w:ascii="Aptos" w:hAnsi="Aptos"/>
                <w:b w:val="0"/>
                <w:sz w:val="15"/>
              </w:rPr>
              <w:t>item3</w:t>
            </w:r>
          </w:p>
        </w:tc>
        <w:tc>
          <w:tcPr>
            <w:tcW w:type="dxa" w:w="2016"/>
            <w:vAlign w:val="center"/>
          </w:tcPr>
          <w:p>
            <w:pPr>
              <w:spacing w:after="0" w:line="240" w:lineRule="auto"/>
            </w:pPr>
            <w:r/>
            <w:r>
              <w:rPr>
                <w:rFonts w:ascii="Aptos" w:hAnsi="Aptos"/>
                <w:b w:val="0"/>
                <w:sz w:val="15"/>
              </w:rPr>
              <w:t>Current cash flows</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91.7</w:t>
            </w:r>
          </w:p>
        </w:tc>
        <w:tc>
          <w:tcPr>
            <w:tcW w:type="dxa" w:w="2016"/>
            <w:vAlign w:val="center"/>
          </w:tcPr>
          <w:p>
            <w:pPr>
              <w:spacing w:after="0" w:line="240" w:lineRule="auto"/>
            </w:pPr>
            <w:r/>
            <w:r>
              <w:rPr>
                <w:rFonts w:ascii="Aptos" w:hAnsi="Aptos"/>
                <w:b w:val="0"/>
                <w:sz w:val="15"/>
              </w:rPr>
              <w:t>0.625</w:t>
            </w:r>
          </w:p>
        </w:tc>
      </w:tr>
      <w:tr>
        <w:tc>
          <w:tcPr>
            <w:tcW w:type="dxa" w:w="2016"/>
            <w:vAlign w:val="center"/>
          </w:tcPr>
          <w:p>
            <w:pPr>
              <w:spacing w:after="0" w:line="240" w:lineRule="auto"/>
            </w:pPr>
            <w:r/>
            <w:r>
              <w:rPr>
                <w:rFonts w:ascii="Aptos" w:hAnsi="Aptos"/>
                <w:b w:val="0"/>
                <w:sz w:val="15"/>
              </w:rPr>
              <w:t>item4</w:t>
            </w:r>
          </w:p>
        </w:tc>
        <w:tc>
          <w:tcPr>
            <w:tcW w:type="dxa" w:w="2016"/>
            <w:vAlign w:val="center"/>
          </w:tcPr>
          <w:p>
            <w:pPr>
              <w:spacing w:after="0" w:line="240" w:lineRule="auto"/>
            </w:pPr>
            <w:r/>
            <w:r>
              <w:rPr>
                <w:rFonts w:ascii="Aptos" w:hAnsi="Aptos"/>
                <w:b w:val="0"/>
                <w:sz w:val="15"/>
              </w:rPr>
              <w:t>Anticipated future financial performance</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75.0</w:t>
            </w:r>
          </w:p>
        </w:tc>
        <w:tc>
          <w:tcPr>
            <w:tcW w:type="dxa" w:w="2016"/>
            <w:vAlign w:val="center"/>
          </w:tcPr>
          <w:p>
            <w:pPr>
              <w:spacing w:after="0" w:line="240" w:lineRule="auto"/>
            </w:pPr>
            <w:r/>
            <w:r>
              <w:rPr>
                <w:rFonts w:ascii="Aptos" w:hAnsi="Aptos"/>
                <w:b w:val="0"/>
                <w:sz w:val="15"/>
              </w:rPr>
              <w:t>0.438</w:t>
            </w:r>
          </w:p>
        </w:tc>
      </w:tr>
      <w:tr>
        <w:tc>
          <w:tcPr>
            <w:tcW w:type="dxa" w:w="2016"/>
            <w:vAlign w:val="center"/>
          </w:tcPr>
          <w:p>
            <w:pPr>
              <w:spacing w:after="0" w:line="240" w:lineRule="auto"/>
            </w:pPr>
            <w:r/>
            <w:r>
              <w:rPr>
                <w:rFonts w:ascii="Aptos" w:hAnsi="Aptos"/>
                <w:b w:val="0"/>
                <w:sz w:val="15"/>
              </w:rPr>
              <w:t>item5</w:t>
            </w:r>
          </w:p>
        </w:tc>
        <w:tc>
          <w:tcPr>
            <w:tcW w:type="dxa" w:w="2016"/>
            <w:vAlign w:val="center"/>
          </w:tcPr>
          <w:p>
            <w:pPr>
              <w:spacing w:after="0" w:line="240" w:lineRule="auto"/>
            </w:pPr>
            <w:r/>
            <w:r>
              <w:rPr>
                <w:rFonts w:ascii="Aptos" w:hAnsi="Aptos"/>
                <w:b w:val="0"/>
                <w:sz w:val="15"/>
              </w:rPr>
              <w:t>Anticipated future financial position</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41.7</w:t>
            </w:r>
          </w:p>
        </w:tc>
        <w:tc>
          <w:tcPr>
            <w:tcW w:type="dxa" w:w="2016"/>
            <w:vAlign w:val="center"/>
          </w:tcPr>
          <w:p>
            <w:pPr>
              <w:spacing w:after="0" w:line="240" w:lineRule="auto"/>
            </w:pPr>
            <w:r/>
            <w:r>
              <w:rPr>
                <w:rFonts w:ascii="Aptos" w:hAnsi="Aptos"/>
                <w:b w:val="0"/>
                <w:sz w:val="15"/>
              </w:rPr>
              <w:t>0.2</w:t>
            </w:r>
          </w:p>
        </w:tc>
      </w:tr>
      <w:tr>
        <w:tc>
          <w:tcPr>
            <w:tcW w:type="dxa" w:w="2016"/>
            <w:vAlign w:val="center"/>
          </w:tcPr>
          <w:p>
            <w:pPr>
              <w:spacing w:after="0" w:line="240" w:lineRule="auto"/>
            </w:pPr>
            <w:r/>
            <w:r>
              <w:rPr>
                <w:rFonts w:ascii="Aptos" w:hAnsi="Aptos"/>
                <w:b w:val="0"/>
                <w:sz w:val="15"/>
              </w:rPr>
              <w:t>item6</w:t>
            </w:r>
          </w:p>
        </w:tc>
        <w:tc>
          <w:tcPr>
            <w:tcW w:type="dxa" w:w="2016"/>
            <w:vAlign w:val="center"/>
          </w:tcPr>
          <w:p>
            <w:pPr>
              <w:spacing w:after="0" w:line="240" w:lineRule="auto"/>
            </w:pPr>
            <w:r/>
            <w:r>
              <w:rPr>
                <w:rFonts w:ascii="Aptos" w:hAnsi="Aptos"/>
                <w:b w:val="0"/>
                <w:sz w:val="15"/>
              </w:rPr>
              <w:t>Anticipated future cash flows</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66.7</w:t>
            </w:r>
          </w:p>
        </w:tc>
        <w:tc>
          <w:tcPr>
            <w:tcW w:type="dxa" w:w="2016"/>
            <w:vAlign w:val="center"/>
          </w:tcPr>
          <w:p>
            <w:pPr>
              <w:spacing w:after="0" w:line="240" w:lineRule="auto"/>
            </w:pPr>
            <w:r/>
            <w:r>
              <w:rPr>
                <w:rFonts w:ascii="Aptos" w:hAnsi="Aptos"/>
                <w:b w:val="0"/>
                <w:sz w:val="15"/>
              </w:rPr>
              <w:t>0.351</w:t>
            </w:r>
          </w:p>
        </w:tc>
      </w:tr>
      <w:tr>
        <w:tc>
          <w:tcPr>
            <w:tcW w:type="dxa" w:w="2016"/>
            <w:vAlign w:val="center"/>
          </w:tcPr>
          <w:p>
            <w:pPr>
              <w:spacing w:after="0" w:line="240" w:lineRule="auto"/>
            </w:pPr>
            <w:r/>
            <w:r>
              <w:rPr>
                <w:rFonts w:ascii="Aptos" w:hAnsi="Aptos"/>
                <w:b w:val="0"/>
                <w:sz w:val="15"/>
              </w:rPr>
              <w:t>item7</w:t>
            </w:r>
          </w:p>
        </w:tc>
        <w:tc>
          <w:tcPr>
            <w:tcW w:type="dxa" w:w="2016"/>
            <w:vAlign w:val="center"/>
          </w:tcPr>
          <w:p>
            <w:pPr>
              <w:spacing w:after="0" w:line="240" w:lineRule="auto"/>
            </w:pPr>
            <w:r/>
            <w:r>
              <w:rPr>
                <w:rFonts w:ascii="Aptos" w:hAnsi="Aptos"/>
                <w:b w:val="0"/>
                <w:sz w:val="15"/>
              </w:rPr>
              <w:t>Capital expenditure / allocation</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83.3</w:t>
            </w:r>
          </w:p>
        </w:tc>
        <w:tc>
          <w:tcPr>
            <w:tcW w:type="dxa" w:w="2016"/>
            <w:vAlign w:val="center"/>
          </w:tcPr>
          <w:p>
            <w:pPr>
              <w:spacing w:after="0" w:line="240" w:lineRule="auto"/>
            </w:pPr>
            <w:r/>
            <w:r>
              <w:rPr>
                <w:rFonts w:ascii="Aptos" w:hAnsi="Aptos"/>
                <w:b w:val="0"/>
                <w:sz w:val="15"/>
              </w:rPr>
              <w:t>0.556</w:t>
            </w:r>
          </w:p>
        </w:tc>
      </w:tr>
      <w:tr>
        <w:tc>
          <w:tcPr>
            <w:tcW w:type="dxa" w:w="2016"/>
            <w:vAlign w:val="center"/>
          </w:tcPr>
          <w:p>
            <w:pPr>
              <w:spacing w:after="0" w:line="240" w:lineRule="auto"/>
            </w:pPr>
            <w:r/>
            <w:r>
              <w:rPr>
                <w:rFonts w:ascii="Aptos" w:hAnsi="Aptos"/>
                <w:b w:val="0"/>
                <w:sz w:val="15"/>
              </w:rPr>
              <w:t>item8</w:t>
            </w:r>
          </w:p>
        </w:tc>
        <w:tc>
          <w:tcPr>
            <w:tcW w:type="dxa" w:w="2016"/>
            <w:vAlign w:val="center"/>
          </w:tcPr>
          <w:p>
            <w:pPr>
              <w:spacing w:after="0" w:line="240" w:lineRule="auto"/>
            </w:pPr>
            <w:r/>
            <w:r>
              <w:rPr>
                <w:rFonts w:ascii="Aptos" w:hAnsi="Aptos"/>
                <w:b w:val="0"/>
                <w:sz w:val="15"/>
              </w:rPr>
              <w:t>Asset valuations &amp; impairment</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75.0</w:t>
            </w:r>
          </w:p>
        </w:tc>
        <w:tc>
          <w:tcPr>
            <w:tcW w:type="dxa" w:w="2016"/>
            <w:vAlign w:val="center"/>
          </w:tcPr>
          <w:p>
            <w:pPr>
              <w:spacing w:after="0" w:line="240" w:lineRule="auto"/>
            </w:pPr>
            <w:r/>
            <w:r>
              <w:rPr>
                <w:rFonts w:ascii="Aptos" w:hAnsi="Aptos"/>
                <w:b w:val="0"/>
                <w:sz w:val="15"/>
              </w:rPr>
              <w:t>0.757</w:t>
            </w:r>
          </w:p>
        </w:tc>
      </w:tr>
      <w:tr>
        <w:tc>
          <w:tcPr>
            <w:tcW w:type="dxa" w:w="2016"/>
            <w:vAlign w:val="center"/>
          </w:tcPr>
          <w:p>
            <w:pPr>
              <w:spacing w:after="0" w:line="240" w:lineRule="auto"/>
            </w:pPr>
            <w:r/>
            <w:r>
              <w:rPr>
                <w:rFonts w:ascii="Aptos" w:hAnsi="Aptos"/>
                <w:b w:val="0"/>
                <w:sz w:val="15"/>
              </w:rPr>
              <w:t>item9</w:t>
            </w:r>
          </w:p>
        </w:tc>
        <w:tc>
          <w:tcPr>
            <w:tcW w:type="dxa" w:w="2016"/>
            <w:vAlign w:val="center"/>
          </w:tcPr>
          <w:p>
            <w:pPr>
              <w:spacing w:after="0" w:line="240" w:lineRule="auto"/>
            </w:pPr>
            <w:r/>
            <w:r>
              <w:rPr>
                <w:rFonts w:ascii="Aptos" w:hAnsi="Aptos"/>
                <w:b w:val="0"/>
                <w:sz w:val="15"/>
              </w:rPr>
              <w:t>Provisions, contingencies &amp; commitments</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58.3</w:t>
            </w:r>
          </w:p>
        </w:tc>
        <w:tc>
          <w:tcPr>
            <w:tcW w:type="dxa" w:w="2016"/>
            <w:vAlign w:val="center"/>
          </w:tcPr>
          <w:p>
            <w:pPr>
              <w:spacing w:after="0" w:line="240" w:lineRule="auto"/>
            </w:pPr>
            <w:r/>
            <w:r>
              <w:rPr>
                <w:rFonts w:ascii="Aptos" w:hAnsi="Aptos"/>
                <w:b w:val="0"/>
                <w:sz w:val="15"/>
              </w:rPr>
              <w:t>0.368</w:t>
            </w:r>
          </w:p>
        </w:tc>
      </w:tr>
      <w:tr>
        <w:tc>
          <w:tcPr>
            <w:tcW w:type="dxa" w:w="2016"/>
            <w:vAlign w:val="center"/>
          </w:tcPr>
          <w:p>
            <w:pPr>
              <w:spacing w:after="0" w:line="240" w:lineRule="auto"/>
            </w:pPr>
            <w:r/>
            <w:r>
              <w:rPr>
                <w:rFonts w:ascii="Aptos" w:hAnsi="Aptos"/>
                <w:b w:val="0"/>
                <w:sz w:val="15"/>
              </w:rPr>
              <w:t>item10</w:t>
            </w:r>
          </w:p>
        </w:tc>
        <w:tc>
          <w:tcPr>
            <w:tcW w:type="dxa" w:w="2016"/>
            <w:vAlign w:val="center"/>
          </w:tcPr>
          <w:p>
            <w:pPr>
              <w:spacing w:after="0" w:line="240" w:lineRule="auto"/>
            </w:pPr>
            <w:r/>
            <w:r>
              <w:rPr>
                <w:rFonts w:ascii="Aptos" w:hAnsi="Aptos"/>
                <w:b w:val="0"/>
                <w:sz w:val="15"/>
              </w:rPr>
              <w:t>Carbon pricing / ETS / regulatory costs</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58.3</w:t>
            </w:r>
          </w:p>
        </w:tc>
        <w:tc>
          <w:tcPr>
            <w:tcW w:type="dxa" w:w="2016"/>
            <w:vAlign w:val="center"/>
          </w:tcPr>
          <w:p>
            <w:pPr>
              <w:spacing w:after="0" w:line="240" w:lineRule="auto"/>
            </w:pPr>
            <w:r/>
            <w:r>
              <w:rPr>
                <w:rFonts w:ascii="Aptos" w:hAnsi="Aptos"/>
                <w:b w:val="0"/>
                <w:sz w:val="15"/>
              </w:rPr>
              <w:t>0.5</w:t>
            </w:r>
          </w:p>
        </w:tc>
      </w:tr>
      <w:tr>
        <w:tc>
          <w:tcPr>
            <w:tcW w:type="dxa" w:w="2016"/>
            <w:vAlign w:val="center"/>
          </w:tcPr>
          <w:p>
            <w:pPr>
              <w:spacing w:after="0" w:line="240" w:lineRule="auto"/>
            </w:pPr>
            <w:r/>
            <w:r>
              <w:rPr>
                <w:rFonts w:ascii="Aptos" w:hAnsi="Aptos"/>
                <w:b w:val="0"/>
                <w:sz w:val="15"/>
              </w:rPr>
              <w:t>item11</w:t>
            </w:r>
          </w:p>
        </w:tc>
        <w:tc>
          <w:tcPr>
            <w:tcW w:type="dxa" w:w="2016"/>
            <w:vAlign w:val="center"/>
          </w:tcPr>
          <w:p>
            <w:pPr>
              <w:spacing w:after="0" w:line="240" w:lineRule="auto"/>
            </w:pPr>
            <w:r/>
            <w:r>
              <w:rPr>
                <w:rFonts w:ascii="Aptos" w:hAnsi="Aptos"/>
                <w:b w:val="0"/>
                <w:sz w:val="15"/>
              </w:rPr>
              <w:t>Financial planning integration</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75.0</w:t>
            </w:r>
          </w:p>
        </w:tc>
        <w:tc>
          <w:tcPr>
            <w:tcW w:type="dxa" w:w="2016"/>
            <w:vAlign w:val="center"/>
          </w:tcPr>
          <w:p>
            <w:pPr>
              <w:spacing w:after="0" w:line="240" w:lineRule="auto"/>
            </w:pPr>
            <w:r/>
            <w:r>
              <w:rPr>
                <w:rFonts w:ascii="Aptos" w:hAnsi="Aptos"/>
                <w:b w:val="0"/>
                <w:sz w:val="15"/>
              </w:rPr>
              <w:t>0.25</w:t>
            </w:r>
          </w:p>
        </w:tc>
      </w:tr>
      <w:tr>
        <w:tc>
          <w:tcPr>
            <w:tcW w:type="dxa" w:w="2016"/>
            <w:vAlign w:val="center"/>
          </w:tcPr>
          <w:p>
            <w:pPr>
              <w:spacing w:after="0" w:line="240" w:lineRule="auto"/>
            </w:pPr>
            <w:r/>
            <w:r>
              <w:rPr>
                <w:rFonts w:ascii="Aptos" w:hAnsi="Aptos"/>
                <w:b w:val="0"/>
                <w:sz w:val="15"/>
              </w:rPr>
              <w:t>item12</w:t>
            </w:r>
          </w:p>
        </w:tc>
        <w:tc>
          <w:tcPr>
            <w:tcW w:type="dxa" w:w="2016"/>
            <w:vAlign w:val="center"/>
          </w:tcPr>
          <w:p>
            <w:pPr>
              <w:spacing w:after="0" w:line="240" w:lineRule="auto"/>
            </w:pPr>
            <w:r/>
            <w:r>
              <w:rPr>
                <w:rFonts w:ascii="Aptos" w:hAnsi="Aptos"/>
                <w:b w:val="0"/>
                <w:sz w:val="15"/>
              </w:rPr>
              <w:t>Quantified scenario analysis</w:t>
            </w:r>
          </w:p>
        </w:tc>
        <w:tc>
          <w:tcPr>
            <w:tcW w:type="dxa" w:w="2016"/>
            <w:vAlign w:val="center"/>
          </w:tcPr>
          <w:p>
            <w:pPr>
              <w:spacing w:after="0" w:line="240" w:lineRule="auto"/>
            </w:pPr>
            <w:r/>
            <w:r>
              <w:rPr>
                <w:rFonts w:ascii="Aptos" w:hAnsi="Aptos"/>
                <w:b w:val="0"/>
                <w:sz w:val="15"/>
              </w:rPr>
              <w:t>12</w:t>
            </w:r>
          </w:p>
        </w:tc>
        <w:tc>
          <w:tcPr>
            <w:tcW w:type="dxa" w:w="2016"/>
            <w:vAlign w:val="center"/>
          </w:tcPr>
          <w:p>
            <w:pPr>
              <w:spacing w:after="0" w:line="240" w:lineRule="auto"/>
            </w:pPr>
            <w:r/>
            <w:r>
              <w:rPr>
                <w:rFonts w:ascii="Aptos" w:hAnsi="Aptos"/>
                <w:b w:val="0"/>
                <w:sz w:val="15"/>
              </w:rPr>
              <w:t>50.0</w:t>
            </w:r>
          </w:p>
        </w:tc>
        <w:tc>
          <w:tcPr>
            <w:tcW w:type="dxa" w:w="2016"/>
            <w:vAlign w:val="center"/>
          </w:tcPr>
          <w:p>
            <w:pPr>
              <w:spacing w:after="0" w:line="240" w:lineRule="auto"/>
            </w:pPr>
            <w:r/>
            <w:r>
              <w:rPr>
                <w:rFonts w:ascii="Aptos" w:hAnsi="Aptos"/>
                <w:b w:val="0"/>
                <w:sz w:val="15"/>
              </w:rPr>
              <w:t>0.0</w:t>
            </w:r>
          </w:p>
        </w:tc>
      </w:tr>
      <w:tr>
        <w:tc>
          <w:tcPr>
            <w:tcW w:type="dxa" w:w="2016"/>
            <w:vAlign w:val="center"/>
          </w:tcPr>
          <w:p>
            <w:pPr>
              <w:spacing w:after="0" w:line="240" w:lineRule="auto"/>
            </w:pPr>
            <w:r/>
            <w:r>
              <w:rPr>
                <w:rFonts w:ascii="Aptos" w:hAnsi="Aptos"/>
                <w:b w:val="0"/>
                <w:sz w:val="15"/>
              </w:rPr>
              <w:t>ALL</w:t>
            </w:r>
          </w:p>
        </w:tc>
        <w:tc>
          <w:tcPr>
            <w:tcW w:type="dxa" w:w="2016"/>
            <w:vAlign w:val="center"/>
          </w:tcPr>
          <w:p>
            <w:pPr>
              <w:spacing w:after="0" w:line="240" w:lineRule="auto"/>
            </w:pPr>
            <w:r/>
            <w:r>
              <w:rPr>
                <w:rFonts w:ascii="Aptos" w:hAnsi="Aptos"/>
                <w:b w:val="0"/>
                <w:sz w:val="15"/>
              </w:rPr>
              <w:t>pooled across items</w:t>
            </w:r>
          </w:p>
        </w:tc>
        <w:tc>
          <w:tcPr>
            <w:tcW w:type="dxa" w:w="2016"/>
            <w:vAlign w:val="center"/>
          </w:tcPr>
          <w:p>
            <w:pPr>
              <w:spacing w:after="0" w:line="240" w:lineRule="auto"/>
            </w:pPr>
            <w:r/>
            <w:r>
              <w:rPr>
                <w:rFonts w:ascii="Aptos" w:hAnsi="Aptos"/>
                <w:b w:val="0"/>
                <w:sz w:val="15"/>
              </w:rPr>
              <w:t>144</w:t>
            </w:r>
          </w:p>
        </w:tc>
        <w:tc>
          <w:tcPr>
            <w:tcW w:type="dxa" w:w="2016"/>
            <w:vAlign w:val="center"/>
          </w:tcPr>
          <w:p>
            <w:pPr>
              <w:spacing w:after="0" w:line="240" w:lineRule="auto"/>
            </w:pPr>
            <w:r/>
            <w:r>
              <w:rPr>
                <w:rFonts w:ascii="Aptos" w:hAnsi="Aptos"/>
                <w:b w:val="0"/>
                <w:sz w:val="15"/>
              </w:rPr>
              <w:t>66.7</w:t>
            </w:r>
          </w:p>
        </w:tc>
        <w:tc>
          <w:tcPr>
            <w:tcW w:type="dxa" w:w="2016"/>
            <w:vAlign w:val="center"/>
          </w:tcPr>
          <w:p>
            <w:pPr>
              <w:spacing w:after="0" w:line="240" w:lineRule="auto"/>
            </w:pPr>
            <w:r/>
            <w:r>
              <w:rPr>
                <w:rFonts w:ascii="Aptos" w:hAnsi="Aptos"/>
                <w:b w:val="0"/>
                <w:sz w:val="15"/>
              </w:rPr>
              <w:t>0.631</w:t>
            </w:r>
          </w:p>
        </w:tc>
      </w:tr>
    </w:tbl>
    <w:p>
      <w:r>
        <w:br w:type="page"/>
      </w:r>
    </w:p>
    <w:p>
      <w:pPr>
        <w:pStyle w:val="Heading1"/>
        <w:keepNext/>
        <w:keepLines/>
      </w:pPr>
      <w:r>
        <w:t>9. RQ1 – Level and Pattern of Disclosure</w:t>
      </w:r>
    </w:p>
    <w:p>
      <w:r>
        <w:t>Across all 80 firm-years, mean CFCQI is 51.77, median 54.20, SD 18.65, range 16.7–95.8. Latest and prior cycle means are almost identical: 51.77 and 51.77, respectively.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75B5"/>
          </w:tcPr>
          <w:p>
            <w:pPr>
              <w:spacing w:after="0" w:line="240" w:lineRule="auto"/>
            </w:pPr>
            <w:r/>
            <w:r>
              <w:rPr>
                <w:rFonts w:ascii="Aptos" w:hAnsi="Aptos"/>
                <w:b/>
                <w:color w:val="FFFFFF"/>
                <w:sz w:val="16"/>
              </w:rPr>
              <w:t>TCFD group</w:t>
            </w:r>
          </w:p>
        </w:tc>
        <w:tc>
          <w:tcPr>
            <w:tcW w:type="dxa" w:w="2016"/>
            <w:vAlign w:val="center"/>
            <w:shd w:fill="2F75B5"/>
          </w:tcPr>
          <w:p>
            <w:pPr>
              <w:spacing w:after="0" w:line="240" w:lineRule="auto"/>
            </w:pPr>
            <w:r/>
            <w:r>
              <w:rPr>
                <w:rFonts w:ascii="Aptos" w:hAnsi="Aptos"/>
                <w:b/>
                <w:color w:val="FFFFFF"/>
                <w:sz w:val="16"/>
              </w:rPr>
              <w:t>n firm-years</w:t>
            </w:r>
          </w:p>
        </w:tc>
        <w:tc>
          <w:tcPr>
            <w:tcW w:type="dxa" w:w="2016"/>
            <w:vAlign w:val="center"/>
            <w:shd w:fill="2F75B5"/>
          </w:tcPr>
          <w:p>
            <w:pPr>
              <w:spacing w:after="0" w:line="240" w:lineRule="auto"/>
            </w:pPr>
            <w:r/>
            <w:r>
              <w:rPr>
                <w:rFonts w:ascii="Aptos" w:hAnsi="Aptos"/>
                <w:b/>
                <w:color w:val="FFFFFF"/>
                <w:sz w:val="16"/>
              </w:rPr>
              <w:t>Mean</w:t>
            </w:r>
          </w:p>
        </w:tc>
        <w:tc>
          <w:tcPr>
            <w:tcW w:type="dxa" w:w="2016"/>
            <w:vAlign w:val="center"/>
            <w:shd w:fill="2F75B5"/>
          </w:tcPr>
          <w:p>
            <w:pPr>
              <w:spacing w:after="0" w:line="240" w:lineRule="auto"/>
            </w:pPr>
            <w:r/>
            <w:r>
              <w:rPr>
                <w:rFonts w:ascii="Aptos" w:hAnsi="Aptos"/>
                <w:b/>
                <w:color w:val="FFFFFF"/>
                <w:sz w:val="16"/>
              </w:rPr>
              <w:t>Median</w:t>
            </w:r>
          </w:p>
        </w:tc>
        <w:tc>
          <w:tcPr>
            <w:tcW w:type="dxa" w:w="2016"/>
            <w:vAlign w:val="center"/>
            <w:shd w:fill="2F75B5"/>
          </w:tcPr>
          <w:p>
            <w:pPr>
              <w:spacing w:after="0" w:line="240" w:lineRule="auto"/>
            </w:pPr>
            <w:r/>
            <w:r>
              <w:rPr>
                <w:rFonts w:ascii="Aptos" w:hAnsi="Aptos"/>
                <w:b/>
                <w:color w:val="FFFFFF"/>
                <w:sz w:val="16"/>
              </w:rPr>
              <w:t>SD</w:t>
            </w:r>
          </w:p>
        </w:tc>
      </w:tr>
      <w:tr>
        <w:tc>
          <w:tcPr>
            <w:tcW w:type="dxa" w:w="2016"/>
            <w:vAlign w:val="center"/>
          </w:tcPr>
          <w:p>
            <w:pPr>
              <w:spacing w:after="0" w:line="240" w:lineRule="auto"/>
            </w:pPr>
            <w:r/>
            <w:r>
              <w:rPr>
                <w:rFonts w:ascii="Aptos" w:hAnsi="Aptos"/>
                <w:b w:val="0"/>
                <w:sz w:val="16"/>
              </w:rPr>
              <w:t>Agriculture Food and Forest Products</w:t>
            </w:r>
          </w:p>
        </w:tc>
        <w:tc>
          <w:tcPr>
            <w:tcW w:type="dxa" w:w="2016"/>
            <w:vAlign w:val="center"/>
          </w:tcPr>
          <w:p>
            <w:pPr>
              <w:spacing w:after="0" w:line="240" w:lineRule="auto"/>
            </w:pPr>
            <w:r/>
            <w:r>
              <w:rPr>
                <w:rFonts w:ascii="Aptos" w:hAnsi="Aptos"/>
                <w:b w:val="0"/>
                <w:sz w:val="16"/>
              </w:rPr>
              <w:t>20</w:t>
            </w:r>
          </w:p>
        </w:tc>
        <w:tc>
          <w:tcPr>
            <w:tcW w:type="dxa" w:w="2016"/>
            <w:vAlign w:val="center"/>
          </w:tcPr>
          <w:p>
            <w:pPr>
              <w:spacing w:after="0" w:line="240" w:lineRule="auto"/>
            </w:pPr>
            <w:r/>
            <w:r>
              <w:rPr>
                <w:rFonts w:ascii="Aptos" w:hAnsi="Aptos"/>
                <w:b w:val="0"/>
                <w:sz w:val="16"/>
              </w:rPr>
              <w:t>45.82</w:t>
            </w:r>
          </w:p>
        </w:tc>
        <w:tc>
          <w:tcPr>
            <w:tcW w:type="dxa" w:w="2016"/>
            <w:vAlign w:val="center"/>
          </w:tcPr>
          <w:p>
            <w:pPr>
              <w:spacing w:after="0" w:line="240" w:lineRule="auto"/>
            </w:pPr>
            <w:r/>
            <w:r>
              <w:rPr>
                <w:rFonts w:ascii="Aptos" w:hAnsi="Aptos"/>
                <w:b w:val="0"/>
                <w:sz w:val="16"/>
              </w:rPr>
              <w:t>50.00</w:t>
            </w:r>
          </w:p>
        </w:tc>
        <w:tc>
          <w:tcPr>
            <w:tcW w:type="dxa" w:w="2016"/>
            <w:vAlign w:val="center"/>
          </w:tcPr>
          <w:p>
            <w:pPr>
              <w:spacing w:after="0" w:line="240" w:lineRule="auto"/>
            </w:pPr>
            <w:r/>
            <w:r>
              <w:rPr>
                <w:rFonts w:ascii="Aptos" w:hAnsi="Aptos"/>
                <w:b w:val="0"/>
                <w:sz w:val="16"/>
              </w:rPr>
              <w:t>18.27</w:t>
            </w:r>
          </w:p>
        </w:tc>
      </w:tr>
      <w:tr>
        <w:tc>
          <w:tcPr>
            <w:tcW w:type="dxa" w:w="2016"/>
            <w:vAlign w:val="center"/>
          </w:tcPr>
          <w:p>
            <w:pPr>
              <w:spacing w:after="0" w:line="240" w:lineRule="auto"/>
            </w:pPr>
            <w:r/>
            <w:r>
              <w:rPr>
                <w:rFonts w:ascii="Aptos" w:hAnsi="Aptos"/>
                <w:b w:val="0"/>
                <w:sz w:val="16"/>
              </w:rPr>
              <w:t>Energy</w:t>
            </w:r>
          </w:p>
        </w:tc>
        <w:tc>
          <w:tcPr>
            <w:tcW w:type="dxa" w:w="2016"/>
            <w:vAlign w:val="center"/>
          </w:tcPr>
          <w:p>
            <w:pPr>
              <w:spacing w:after="0" w:line="240" w:lineRule="auto"/>
            </w:pPr>
            <w:r/>
            <w:r>
              <w:rPr>
                <w:rFonts w:ascii="Aptos" w:hAnsi="Aptos"/>
                <w:b w:val="0"/>
                <w:sz w:val="16"/>
              </w:rPr>
              <w:t>20</w:t>
            </w:r>
          </w:p>
        </w:tc>
        <w:tc>
          <w:tcPr>
            <w:tcW w:type="dxa" w:w="2016"/>
            <w:vAlign w:val="center"/>
          </w:tcPr>
          <w:p>
            <w:pPr>
              <w:spacing w:after="0" w:line="240" w:lineRule="auto"/>
            </w:pPr>
            <w:r/>
            <w:r>
              <w:rPr>
                <w:rFonts w:ascii="Aptos" w:hAnsi="Aptos"/>
                <w:b w:val="0"/>
                <w:sz w:val="16"/>
              </w:rPr>
              <w:t>62.91</w:t>
            </w:r>
          </w:p>
        </w:tc>
        <w:tc>
          <w:tcPr>
            <w:tcW w:type="dxa" w:w="2016"/>
            <w:vAlign w:val="center"/>
          </w:tcPr>
          <w:p>
            <w:pPr>
              <w:spacing w:after="0" w:line="240" w:lineRule="auto"/>
            </w:pPr>
            <w:r/>
            <w:r>
              <w:rPr>
                <w:rFonts w:ascii="Aptos" w:hAnsi="Aptos"/>
                <w:b w:val="0"/>
                <w:sz w:val="16"/>
              </w:rPr>
              <w:t>68.75</w:t>
            </w:r>
          </w:p>
        </w:tc>
        <w:tc>
          <w:tcPr>
            <w:tcW w:type="dxa" w:w="2016"/>
            <w:vAlign w:val="center"/>
          </w:tcPr>
          <w:p>
            <w:pPr>
              <w:spacing w:after="0" w:line="240" w:lineRule="auto"/>
            </w:pPr>
            <w:r/>
            <w:r>
              <w:rPr>
                <w:rFonts w:ascii="Aptos" w:hAnsi="Aptos"/>
                <w:b w:val="0"/>
                <w:sz w:val="16"/>
              </w:rPr>
              <w:t>20.23</w:t>
            </w:r>
          </w:p>
        </w:tc>
      </w:tr>
      <w:tr>
        <w:tc>
          <w:tcPr>
            <w:tcW w:type="dxa" w:w="2016"/>
            <w:vAlign w:val="center"/>
          </w:tcPr>
          <w:p>
            <w:pPr>
              <w:spacing w:after="0" w:line="240" w:lineRule="auto"/>
            </w:pPr>
            <w:r/>
            <w:r>
              <w:rPr>
                <w:rFonts w:ascii="Aptos" w:hAnsi="Aptos"/>
                <w:b w:val="0"/>
                <w:sz w:val="16"/>
              </w:rPr>
              <w:t>Materials and Buildings</w:t>
            </w:r>
          </w:p>
        </w:tc>
        <w:tc>
          <w:tcPr>
            <w:tcW w:type="dxa" w:w="2016"/>
            <w:vAlign w:val="center"/>
          </w:tcPr>
          <w:p>
            <w:pPr>
              <w:spacing w:after="0" w:line="240" w:lineRule="auto"/>
            </w:pPr>
            <w:r/>
            <w:r>
              <w:rPr>
                <w:rFonts w:ascii="Aptos" w:hAnsi="Aptos"/>
                <w:b w:val="0"/>
                <w:sz w:val="16"/>
              </w:rPr>
              <w:t>22</w:t>
            </w:r>
          </w:p>
        </w:tc>
        <w:tc>
          <w:tcPr>
            <w:tcW w:type="dxa" w:w="2016"/>
            <w:vAlign w:val="center"/>
          </w:tcPr>
          <w:p>
            <w:pPr>
              <w:spacing w:after="0" w:line="240" w:lineRule="auto"/>
            </w:pPr>
            <w:r/>
            <w:r>
              <w:rPr>
                <w:rFonts w:ascii="Aptos" w:hAnsi="Aptos"/>
                <w:b w:val="0"/>
                <w:sz w:val="16"/>
              </w:rPr>
              <w:t>49.80</w:t>
            </w:r>
          </w:p>
        </w:tc>
        <w:tc>
          <w:tcPr>
            <w:tcW w:type="dxa" w:w="2016"/>
            <w:vAlign w:val="center"/>
          </w:tcPr>
          <w:p>
            <w:pPr>
              <w:spacing w:after="0" w:line="240" w:lineRule="auto"/>
            </w:pPr>
            <w:r/>
            <w:r>
              <w:rPr>
                <w:rFonts w:ascii="Aptos" w:hAnsi="Aptos"/>
                <w:b w:val="0"/>
                <w:sz w:val="16"/>
              </w:rPr>
              <w:t>52.10</w:t>
            </w:r>
          </w:p>
        </w:tc>
        <w:tc>
          <w:tcPr>
            <w:tcW w:type="dxa" w:w="2016"/>
            <w:vAlign w:val="center"/>
          </w:tcPr>
          <w:p>
            <w:pPr>
              <w:spacing w:after="0" w:line="240" w:lineRule="auto"/>
            </w:pPr>
            <w:r/>
            <w:r>
              <w:rPr>
                <w:rFonts w:ascii="Aptos" w:hAnsi="Aptos"/>
                <w:b w:val="0"/>
                <w:sz w:val="16"/>
              </w:rPr>
              <w:t>17.27</w:t>
            </w:r>
          </w:p>
        </w:tc>
      </w:tr>
      <w:tr>
        <w:tc>
          <w:tcPr>
            <w:tcW w:type="dxa" w:w="2016"/>
            <w:vAlign w:val="center"/>
          </w:tcPr>
          <w:p>
            <w:pPr>
              <w:spacing w:after="0" w:line="240" w:lineRule="auto"/>
            </w:pPr>
            <w:r/>
            <w:r>
              <w:rPr>
                <w:rFonts w:ascii="Aptos" w:hAnsi="Aptos"/>
                <w:b w:val="0"/>
                <w:sz w:val="16"/>
              </w:rPr>
              <w:t>Transportation</w:t>
            </w:r>
          </w:p>
        </w:tc>
        <w:tc>
          <w:tcPr>
            <w:tcW w:type="dxa" w:w="2016"/>
            <w:vAlign w:val="center"/>
          </w:tcPr>
          <w:p>
            <w:pPr>
              <w:spacing w:after="0" w:line="240" w:lineRule="auto"/>
            </w:pPr>
            <w:r/>
            <w:r>
              <w:rPr>
                <w:rFonts w:ascii="Aptos" w:hAnsi="Aptos"/>
                <w:b w:val="0"/>
                <w:sz w:val="16"/>
              </w:rPr>
              <w:t>18</w:t>
            </w:r>
          </w:p>
        </w:tc>
        <w:tc>
          <w:tcPr>
            <w:tcW w:type="dxa" w:w="2016"/>
            <w:vAlign w:val="center"/>
          </w:tcPr>
          <w:p>
            <w:pPr>
              <w:spacing w:after="0" w:line="240" w:lineRule="auto"/>
            </w:pPr>
            <w:r/>
            <w:r>
              <w:rPr>
                <w:rFonts w:ascii="Aptos" w:hAnsi="Aptos"/>
                <w:b w:val="0"/>
                <w:sz w:val="16"/>
              </w:rPr>
              <w:t>48.38</w:t>
            </w:r>
          </w:p>
        </w:tc>
        <w:tc>
          <w:tcPr>
            <w:tcW w:type="dxa" w:w="2016"/>
            <w:vAlign w:val="center"/>
          </w:tcPr>
          <w:p>
            <w:pPr>
              <w:spacing w:after="0" w:line="240" w:lineRule="auto"/>
            </w:pPr>
            <w:r/>
            <w:r>
              <w:rPr>
                <w:rFonts w:ascii="Aptos" w:hAnsi="Aptos"/>
                <w:b w:val="0"/>
                <w:sz w:val="16"/>
              </w:rPr>
              <w:t>52.10</w:t>
            </w:r>
          </w:p>
        </w:tc>
        <w:tc>
          <w:tcPr>
            <w:tcW w:type="dxa" w:w="2016"/>
            <w:vAlign w:val="center"/>
          </w:tcPr>
          <w:p>
            <w:pPr>
              <w:spacing w:after="0" w:line="240" w:lineRule="auto"/>
            </w:pPr>
            <w:r/>
            <w:r>
              <w:rPr>
                <w:rFonts w:ascii="Aptos" w:hAnsi="Aptos"/>
                <w:b w:val="0"/>
                <w:sz w:val="16"/>
              </w:rPr>
              <w:t>14.60</w:t>
            </w:r>
          </w:p>
        </w:tc>
      </w:tr>
    </w:tbl>
    <w:p>
      <w:r>
        <w:t>Energy has the highest mean CFCQI (62.91), followed by Materials and Buildings (49.80), Transportation (48.38), and Agriculture/Food/Forest Products (45.82). These are descriptive comparisons and should not be interpreted as causal sector effects.</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_cfcqi_by_sector.png"/>
                    <pic:cNvPicPr/>
                  </pic:nvPicPr>
                  <pic:blipFill>
                    <a:blip r:embed="rId10"/>
                    <a:stretch>
                      <a:fillRect/>
                    </a:stretch>
                  </pic:blipFill>
                  <pic:spPr>
                    <a:xfrm>
                      <a:off x="0" y="0"/>
                      <a:ext cx="5669280" cy="3401568"/>
                    </a:xfrm>
                    <a:prstGeom prst="rect"/>
                  </pic:spPr>
                </pic:pic>
              </a:graphicData>
            </a:graphic>
          </wp:inline>
        </w:drawing>
      </w:r>
    </w:p>
    <w:p>
      <w:pPr>
        <w:spacing w:after="120"/>
        <w:jc w:val="center"/>
      </w:pPr>
      <w:r>
        <w:rPr>
          <w:i/>
          <w:sz w:val="17"/>
        </w:rPr>
        <w:t>Figure 2. Mean CFCQI by TCFD group.</w:t>
      </w:r>
    </w:p>
    <w:p>
      <w:r>
        <w:t>At item level, financial-planning integration, quantified scenario analysis, and asset valuation/impairment are the strongest dimensions. Current-period financial position, financial performance and cash-flow connectivity remain the weakest areas.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75B5"/>
          </w:tcPr>
          <w:p>
            <w:pPr>
              <w:spacing w:after="0" w:line="240" w:lineRule="auto"/>
            </w:pPr>
            <w:r/>
            <w:r>
              <w:rPr>
                <w:rFonts w:ascii="Aptos" w:hAnsi="Aptos"/>
                <w:b/>
                <w:color w:val="FFFFFF"/>
                <w:sz w:val="15"/>
              </w:rPr>
              <w:t>Item</w:t>
            </w:r>
          </w:p>
        </w:tc>
        <w:tc>
          <w:tcPr>
            <w:tcW w:type="dxa" w:w="2016"/>
            <w:vAlign w:val="center"/>
            <w:shd w:fill="2F75B5"/>
          </w:tcPr>
          <w:p>
            <w:pPr>
              <w:spacing w:after="0" w:line="240" w:lineRule="auto"/>
            </w:pPr>
            <w:r/>
            <w:r>
              <w:rPr>
                <w:rFonts w:ascii="Aptos" w:hAnsi="Aptos"/>
                <w:b/>
                <w:color w:val="FFFFFF"/>
                <w:sz w:val="15"/>
              </w:rPr>
              <w:t>Mean (0–2)</w:t>
            </w:r>
          </w:p>
        </w:tc>
        <w:tc>
          <w:tcPr>
            <w:tcW w:type="dxa" w:w="2016"/>
            <w:vAlign w:val="center"/>
            <w:shd w:fill="2F75B5"/>
          </w:tcPr>
          <w:p>
            <w:pPr>
              <w:spacing w:after="0" w:line="240" w:lineRule="auto"/>
            </w:pPr>
            <w:r/>
            <w:r>
              <w:rPr>
                <w:rFonts w:ascii="Aptos" w:hAnsi="Aptos"/>
                <w:b/>
                <w:color w:val="FFFFFF"/>
                <w:sz w:val="15"/>
              </w:rPr>
              <w:t>% score 0</w:t>
            </w:r>
          </w:p>
        </w:tc>
        <w:tc>
          <w:tcPr>
            <w:tcW w:type="dxa" w:w="2016"/>
            <w:vAlign w:val="center"/>
            <w:shd w:fill="2F75B5"/>
          </w:tcPr>
          <w:p>
            <w:pPr>
              <w:spacing w:after="0" w:line="240" w:lineRule="auto"/>
            </w:pPr>
            <w:r/>
            <w:r>
              <w:rPr>
                <w:rFonts w:ascii="Aptos" w:hAnsi="Aptos"/>
                <w:b/>
                <w:color w:val="FFFFFF"/>
                <w:sz w:val="15"/>
              </w:rPr>
              <w:t>% score 1</w:t>
            </w:r>
          </w:p>
        </w:tc>
        <w:tc>
          <w:tcPr>
            <w:tcW w:type="dxa" w:w="2016"/>
            <w:vAlign w:val="center"/>
            <w:shd w:fill="2F75B5"/>
          </w:tcPr>
          <w:p>
            <w:pPr>
              <w:spacing w:after="0" w:line="240" w:lineRule="auto"/>
            </w:pPr>
            <w:r/>
            <w:r>
              <w:rPr>
                <w:rFonts w:ascii="Aptos" w:hAnsi="Aptos"/>
                <w:b/>
                <w:color w:val="FFFFFF"/>
                <w:sz w:val="15"/>
              </w:rPr>
              <w:t>% score 2</w:t>
            </w:r>
          </w:p>
        </w:tc>
      </w:tr>
      <w:tr>
        <w:tc>
          <w:tcPr>
            <w:tcW w:type="dxa" w:w="2016"/>
            <w:vAlign w:val="center"/>
          </w:tcPr>
          <w:p>
            <w:pPr>
              <w:spacing w:after="0" w:line="240" w:lineRule="auto"/>
            </w:pPr>
            <w:r/>
            <w:r>
              <w:rPr>
                <w:rFonts w:ascii="Aptos" w:hAnsi="Aptos"/>
                <w:b w:val="0"/>
                <w:sz w:val="15"/>
              </w:rPr>
              <w:t>Financial planning integration</w:t>
            </w:r>
          </w:p>
        </w:tc>
        <w:tc>
          <w:tcPr>
            <w:tcW w:type="dxa" w:w="2016"/>
            <w:vAlign w:val="center"/>
          </w:tcPr>
          <w:p>
            <w:pPr>
              <w:spacing w:after="0" w:line="240" w:lineRule="auto"/>
            </w:pPr>
            <w:r/>
            <w:r>
              <w:rPr>
                <w:rFonts w:ascii="Aptos" w:hAnsi="Aptos"/>
                <w:b w:val="0"/>
                <w:sz w:val="15"/>
              </w:rPr>
              <w:t>1.81</w:t>
            </w:r>
          </w:p>
        </w:tc>
        <w:tc>
          <w:tcPr>
            <w:tcW w:type="dxa" w:w="2016"/>
            <w:vAlign w:val="center"/>
          </w:tcPr>
          <w:p>
            <w:pPr>
              <w:spacing w:after="0" w:line="240" w:lineRule="auto"/>
            </w:pPr>
            <w:r/>
            <w:r>
              <w:rPr>
                <w:rFonts w:ascii="Aptos" w:hAnsi="Aptos"/>
                <w:b w:val="0"/>
                <w:sz w:val="15"/>
              </w:rPr>
              <w:t>2.5</w:t>
            </w:r>
          </w:p>
        </w:tc>
        <w:tc>
          <w:tcPr>
            <w:tcW w:type="dxa" w:w="2016"/>
            <w:vAlign w:val="center"/>
          </w:tcPr>
          <w:p>
            <w:pPr>
              <w:spacing w:after="0" w:line="240" w:lineRule="auto"/>
            </w:pPr>
            <w:r/>
            <w:r>
              <w:rPr>
                <w:rFonts w:ascii="Aptos" w:hAnsi="Aptos"/>
                <w:b w:val="0"/>
                <w:sz w:val="15"/>
              </w:rPr>
              <w:t>13.8</w:t>
            </w:r>
          </w:p>
        </w:tc>
        <w:tc>
          <w:tcPr>
            <w:tcW w:type="dxa" w:w="2016"/>
            <w:vAlign w:val="center"/>
          </w:tcPr>
          <w:p>
            <w:pPr>
              <w:spacing w:after="0" w:line="240" w:lineRule="auto"/>
            </w:pPr>
            <w:r/>
            <w:r>
              <w:rPr>
                <w:rFonts w:ascii="Aptos" w:hAnsi="Aptos"/>
                <w:b w:val="0"/>
                <w:sz w:val="15"/>
              </w:rPr>
              <w:t>83.8</w:t>
            </w:r>
          </w:p>
        </w:tc>
      </w:tr>
      <w:tr>
        <w:tc>
          <w:tcPr>
            <w:tcW w:type="dxa" w:w="2016"/>
            <w:vAlign w:val="center"/>
          </w:tcPr>
          <w:p>
            <w:pPr>
              <w:spacing w:after="0" w:line="240" w:lineRule="auto"/>
            </w:pPr>
            <w:r/>
            <w:r>
              <w:rPr>
                <w:rFonts w:ascii="Aptos" w:hAnsi="Aptos"/>
                <w:b w:val="0"/>
                <w:sz w:val="15"/>
              </w:rPr>
              <w:t>Quantified scenario analysis</w:t>
            </w:r>
          </w:p>
        </w:tc>
        <w:tc>
          <w:tcPr>
            <w:tcW w:type="dxa" w:w="2016"/>
            <w:vAlign w:val="center"/>
          </w:tcPr>
          <w:p>
            <w:pPr>
              <w:spacing w:after="0" w:line="240" w:lineRule="auto"/>
            </w:pPr>
            <w:r/>
            <w:r>
              <w:rPr>
                <w:rFonts w:ascii="Aptos" w:hAnsi="Aptos"/>
                <w:b w:val="0"/>
                <w:sz w:val="15"/>
              </w:rPr>
              <w:t>1.60</w:t>
            </w:r>
          </w:p>
        </w:tc>
        <w:tc>
          <w:tcPr>
            <w:tcW w:type="dxa" w:w="2016"/>
            <w:vAlign w:val="center"/>
          </w:tcPr>
          <w:p>
            <w:pPr>
              <w:spacing w:after="0" w:line="240" w:lineRule="auto"/>
            </w:pPr>
            <w:r/>
            <w:r>
              <w:rPr>
                <w:rFonts w:ascii="Aptos" w:hAnsi="Aptos"/>
                <w:b w:val="0"/>
                <w:sz w:val="15"/>
              </w:rPr>
              <w:t>2.5</w:t>
            </w:r>
          </w:p>
        </w:tc>
        <w:tc>
          <w:tcPr>
            <w:tcW w:type="dxa" w:w="2016"/>
            <w:vAlign w:val="center"/>
          </w:tcPr>
          <w:p>
            <w:pPr>
              <w:spacing w:after="0" w:line="240" w:lineRule="auto"/>
            </w:pPr>
            <w:r/>
            <w:r>
              <w:rPr>
                <w:rFonts w:ascii="Aptos" w:hAnsi="Aptos"/>
                <w:b w:val="0"/>
                <w:sz w:val="15"/>
              </w:rPr>
              <w:t>35.0</w:t>
            </w:r>
          </w:p>
        </w:tc>
        <w:tc>
          <w:tcPr>
            <w:tcW w:type="dxa" w:w="2016"/>
            <w:vAlign w:val="center"/>
          </w:tcPr>
          <w:p>
            <w:pPr>
              <w:spacing w:after="0" w:line="240" w:lineRule="auto"/>
            </w:pPr>
            <w:r/>
            <w:r>
              <w:rPr>
                <w:rFonts w:ascii="Aptos" w:hAnsi="Aptos"/>
                <w:b w:val="0"/>
                <w:sz w:val="15"/>
              </w:rPr>
              <w:t>62.5</w:t>
            </w:r>
          </w:p>
        </w:tc>
      </w:tr>
      <w:tr>
        <w:tc>
          <w:tcPr>
            <w:tcW w:type="dxa" w:w="2016"/>
            <w:vAlign w:val="center"/>
          </w:tcPr>
          <w:p>
            <w:pPr>
              <w:spacing w:after="0" w:line="240" w:lineRule="auto"/>
            </w:pPr>
            <w:r/>
            <w:r>
              <w:rPr>
                <w:rFonts w:ascii="Aptos" w:hAnsi="Aptos"/>
                <w:b w:val="0"/>
                <w:sz w:val="15"/>
              </w:rPr>
              <w:t>Asset valuations &amp; impairment</w:t>
            </w:r>
          </w:p>
        </w:tc>
        <w:tc>
          <w:tcPr>
            <w:tcW w:type="dxa" w:w="2016"/>
            <w:vAlign w:val="center"/>
          </w:tcPr>
          <w:p>
            <w:pPr>
              <w:spacing w:after="0" w:line="240" w:lineRule="auto"/>
            </w:pPr>
            <w:r/>
            <w:r>
              <w:rPr>
                <w:rFonts w:ascii="Aptos" w:hAnsi="Aptos"/>
                <w:b w:val="0"/>
                <w:sz w:val="15"/>
              </w:rPr>
              <w:t>1.50</w:t>
            </w:r>
          </w:p>
        </w:tc>
        <w:tc>
          <w:tcPr>
            <w:tcW w:type="dxa" w:w="2016"/>
            <w:vAlign w:val="center"/>
          </w:tcPr>
          <w:p>
            <w:pPr>
              <w:spacing w:after="0" w:line="240" w:lineRule="auto"/>
            </w:pPr>
            <w:r/>
            <w:r>
              <w:rPr>
                <w:rFonts w:ascii="Aptos" w:hAnsi="Aptos"/>
                <w:b w:val="0"/>
                <w:sz w:val="15"/>
              </w:rPr>
              <w:t>3.8</w:t>
            </w:r>
          </w:p>
        </w:tc>
        <w:tc>
          <w:tcPr>
            <w:tcW w:type="dxa" w:w="2016"/>
            <w:vAlign w:val="center"/>
          </w:tcPr>
          <w:p>
            <w:pPr>
              <w:spacing w:after="0" w:line="240" w:lineRule="auto"/>
            </w:pPr>
            <w:r/>
            <w:r>
              <w:rPr>
                <w:rFonts w:ascii="Aptos" w:hAnsi="Aptos"/>
                <w:b w:val="0"/>
                <w:sz w:val="15"/>
              </w:rPr>
              <w:t>42.5</w:t>
            </w:r>
          </w:p>
        </w:tc>
        <w:tc>
          <w:tcPr>
            <w:tcW w:type="dxa" w:w="2016"/>
            <w:vAlign w:val="center"/>
          </w:tcPr>
          <w:p>
            <w:pPr>
              <w:spacing w:after="0" w:line="240" w:lineRule="auto"/>
            </w:pPr>
            <w:r/>
            <w:r>
              <w:rPr>
                <w:rFonts w:ascii="Aptos" w:hAnsi="Aptos"/>
                <w:b w:val="0"/>
                <w:sz w:val="15"/>
              </w:rPr>
              <w:t>53.8</w:t>
            </w:r>
          </w:p>
        </w:tc>
      </w:tr>
      <w:tr>
        <w:tc>
          <w:tcPr>
            <w:tcW w:type="dxa" w:w="2016"/>
            <w:vAlign w:val="center"/>
          </w:tcPr>
          <w:p>
            <w:pPr>
              <w:spacing w:after="0" w:line="240" w:lineRule="auto"/>
            </w:pPr>
            <w:r/>
            <w:r>
              <w:rPr>
                <w:rFonts w:ascii="Aptos" w:hAnsi="Aptos"/>
                <w:b w:val="0"/>
                <w:sz w:val="15"/>
              </w:rPr>
              <w:t>Anticipated future financial performance</w:t>
            </w:r>
          </w:p>
        </w:tc>
        <w:tc>
          <w:tcPr>
            <w:tcW w:type="dxa" w:w="2016"/>
            <w:vAlign w:val="center"/>
          </w:tcPr>
          <w:p>
            <w:pPr>
              <w:spacing w:after="0" w:line="240" w:lineRule="auto"/>
            </w:pPr>
            <w:r/>
            <w:r>
              <w:rPr>
                <w:rFonts w:ascii="Aptos" w:hAnsi="Aptos"/>
                <w:b w:val="0"/>
                <w:sz w:val="15"/>
              </w:rPr>
              <w:t>1.44</w:t>
            </w:r>
          </w:p>
        </w:tc>
        <w:tc>
          <w:tcPr>
            <w:tcW w:type="dxa" w:w="2016"/>
            <w:vAlign w:val="center"/>
          </w:tcPr>
          <w:p>
            <w:pPr>
              <w:spacing w:after="0" w:line="240" w:lineRule="auto"/>
            </w:pPr>
            <w:r/>
            <w:r>
              <w:rPr>
                <w:rFonts w:ascii="Aptos" w:hAnsi="Aptos"/>
                <w:b w:val="0"/>
                <w:sz w:val="15"/>
              </w:rPr>
              <w:t>0.0</w:t>
            </w:r>
          </w:p>
        </w:tc>
        <w:tc>
          <w:tcPr>
            <w:tcW w:type="dxa" w:w="2016"/>
            <w:vAlign w:val="center"/>
          </w:tcPr>
          <w:p>
            <w:pPr>
              <w:spacing w:after="0" w:line="240" w:lineRule="auto"/>
            </w:pPr>
            <w:r/>
            <w:r>
              <w:rPr>
                <w:rFonts w:ascii="Aptos" w:hAnsi="Aptos"/>
                <w:b w:val="0"/>
                <w:sz w:val="15"/>
              </w:rPr>
              <w:t>56.2</w:t>
            </w:r>
          </w:p>
        </w:tc>
        <w:tc>
          <w:tcPr>
            <w:tcW w:type="dxa" w:w="2016"/>
            <w:vAlign w:val="center"/>
          </w:tcPr>
          <w:p>
            <w:pPr>
              <w:spacing w:after="0" w:line="240" w:lineRule="auto"/>
            </w:pPr>
            <w:r/>
            <w:r>
              <w:rPr>
                <w:rFonts w:ascii="Aptos" w:hAnsi="Aptos"/>
                <w:b w:val="0"/>
                <w:sz w:val="15"/>
              </w:rPr>
              <w:t>43.8</w:t>
            </w:r>
          </w:p>
        </w:tc>
      </w:tr>
      <w:tr>
        <w:tc>
          <w:tcPr>
            <w:tcW w:type="dxa" w:w="2016"/>
            <w:vAlign w:val="center"/>
          </w:tcPr>
          <w:p>
            <w:pPr>
              <w:spacing w:after="0" w:line="240" w:lineRule="auto"/>
            </w:pPr>
            <w:r/>
            <w:r>
              <w:rPr>
                <w:rFonts w:ascii="Aptos" w:hAnsi="Aptos"/>
                <w:b w:val="0"/>
                <w:sz w:val="15"/>
              </w:rPr>
              <w:t>Carbon pricing / ETS / regulatory costs</w:t>
            </w:r>
          </w:p>
        </w:tc>
        <w:tc>
          <w:tcPr>
            <w:tcW w:type="dxa" w:w="2016"/>
            <w:vAlign w:val="center"/>
          </w:tcPr>
          <w:p>
            <w:pPr>
              <w:spacing w:after="0" w:line="240" w:lineRule="auto"/>
            </w:pPr>
            <w:r/>
            <w:r>
              <w:rPr>
                <w:rFonts w:ascii="Aptos" w:hAnsi="Aptos"/>
                <w:b w:val="0"/>
                <w:sz w:val="15"/>
              </w:rPr>
              <w:t>1.16</w:t>
            </w:r>
          </w:p>
        </w:tc>
        <w:tc>
          <w:tcPr>
            <w:tcW w:type="dxa" w:w="2016"/>
            <w:vAlign w:val="center"/>
          </w:tcPr>
          <w:p>
            <w:pPr>
              <w:spacing w:after="0" w:line="240" w:lineRule="auto"/>
            </w:pPr>
            <w:r/>
            <w:r>
              <w:rPr>
                <w:rFonts w:ascii="Aptos" w:hAnsi="Aptos"/>
                <w:b w:val="0"/>
                <w:sz w:val="15"/>
              </w:rPr>
              <w:t>22.5</w:t>
            </w:r>
          </w:p>
        </w:tc>
        <w:tc>
          <w:tcPr>
            <w:tcW w:type="dxa" w:w="2016"/>
            <w:vAlign w:val="center"/>
          </w:tcPr>
          <w:p>
            <w:pPr>
              <w:spacing w:after="0" w:line="240" w:lineRule="auto"/>
            </w:pPr>
            <w:r/>
            <w:r>
              <w:rPr>
                <w:rFonts w:ascii="Aptos" w:hAnsi="Aptos"/>
                <w:b w:val="0"/>
                <w:sz w:val="15"/>
              </w:rPr>
              <w:t>38.8</w:t>
            </w:r>
          </w:p>
        </w:tc>
        <w:tc>
          <w:tcPr>
            <w:tcW w:type="dxa" w:w="2016"/>
            <w:vAlign w:val="center"/>
          </w:tcPr>
          <w:p>
            <w:pPr>
              <w:spacing w:after="0" w:line="240" w:lineRule="auto"/>
            </w:pPr>
            <w:r/>
            <w:r>
              <w:rPr>
                <w:rFonts w:ascii="Aptos" w:hAnsi="Aptos"/>
                <w:b w:val="0"/>
                <w:sz w:val="15"/>
              </w:rPr>
              <w:t>38.8</w:t>
            </w:r>
          </w:p>
        </w:tc>
      </w:tr>
      <w:tr>
        <w:tc>
          <w:tcPr>
            <w:tcW w:type="dxa" w:w="2016"/>
            <w:vAlign w:val="center"/>
          </w:tcPr>
          <w:p>
            <w:pPr>
              <w:spacing w:after="0" w:line="240" w:lineRule="auto"/>
            </w:pPr>
            <w:r/>
            <w:r>
              <w:rPr>
                <w:rFonts w:ascii="Aptos" w:hAnsi="Aptos"/>
                <w:b w:val="0"/>
                <w:sz w:val="15"/>
              </w:rPr>
              <w:t>Capital expenditure / allocation</w:t>
            </w:r>
          </w:p>
        </w:tc>
        <w:tc>
          <w:tcPr>
            <w:tcW w:type="dxa" w:w="2016"/>
            <w:vAlign w:val="center"/>
          </w:tcPr>
          <w:p>
            <w:pPr>
              <w:spacing w:after="0" w:line="240" w:lineRule="auto"/>
            </w:pPr>
            <w:r/>
            <w:r>
              <w:rPr>
                <w:rFonts w:ascii="Aptos" w:hAnsi="Aptos"/>
                <w:b w:val="0"/>
                <w:sz w:val="15"/>
              </w:rPr>
              <w:t>1.11</w:t>
            </w:r>
          </w:p>
        </w:tc>
        <w:tc>
          <w:tcPr>
            <w:tcW w:type="dxa" w:w="2016"/>
            <w:vAlign w:val="center"/>
          </w:tcPr>
          <w:p>
            <w:pPr>
              <w:spacing w:after="0" w:line="240" w:lineRule="auto"/>
            </w:pPr>
            <w:r/>
            <w:r>
              <w:rPr>
                <w:rFonts w:ascii="Aptos" w:hAnsi="Aptos"/>
                <w:b w:val="0"/>
                <w:sz w:val="15"/>
              </w:rPr>
              <w:t>20.0</w:t>
            </w:r>
          </w:p>
        </w:tc>
        <w:tc>
          <w:tcPr>
            <w:tcW w:type="dxa" w:w="2016"/>
            <w:vAlign w:val="center"/>
          </w:tcPr>
          <w:p>
            <w:pPr>
              <w:spacing w:after="0" w:line="240" w:lineRule="auto"/>
            </w:pPr>
            <w:r/>
            <w:r>
              <w:rPr>
                <w:rFonts w:ascii="Aptos" w:hAnsi="Aptos"/>
                <w:b w:val="0"/>
                <w:sz w:val="15"/>
              </w:rPr>
              <w:t>48.8</w:t>
            </w:r>
          </w:p>
        </w:tc>
        <w:tc>
          <w:tcPr>
            <w:tcW w:type="dxa" w:w="2016"/>
            <w:vAlign w:val="center"/>
          </w:tcPr>
          <w:p>
            <w:pPr>
              <w:spacing w:after="0" w:line="240" w:lineRule="auto"/>
            </w:pPr>
            <w:r/>
            <w:r>
              <w:rPr>
                <w:rFonts w:ascii="Aptos" w:hAnsi="Aptos"/>
                <w:b w:val="0"/>
                <w:sz w:val="15"/>
              </w:rPr>
              <w:t>31.2</w:t>
            </w:r>
          </w:p>
        </w:tc>
      </w:tr>
      <w:tr>
        <w:tc>
          <w:tcPr>
            <w:tcW w:type="dxa" w:w="2016"/>
            <w:vAlign w:val="center"/>
          </w:tcPr>
          <w:p>
            <w:pPr>
              <w:spacing w:after="0" w:line="240" w:lineRule="auto"/>
            </w:pPr>
            <w:r/>
            <w:r>
              <w:rPr>
                <w:rFonts w:ascii="Aptos" w:hAnsi="Aptos"/>
                <w:b w:val="0"/>
                <w:sz w:val="15"/>
              </w:rPr>
              <w:t>Anticipated future cash flows</w:t>
            </w:r>
          </w:p>
        </w:tc>
        <w:tc>
          <w:tcPr>
            <w:tcW w:type="dxa" w:w="2016"/>
            <w:vAlign w:val="center"/>
          </w:tcPr>
          <w:p>
            <w:pPr>
              <w:spacing w:after="0" w:line="240" w:lineRule="auto"/>
            </w:pPr>
            <w:r/>
            <w:r>
              <w:rPr>
                <w:rFonts w:ascii="Aptos" w:hAnsi="Aptos"/>
                <w:b w:val="0"/>
                <w:sz w:val="15"/>
              </w:rPr>
              <w:t>0.99</w:t>
            </w:r>
          </w:p>
        </w:tc>
        <w:tc>
          <w:tcPr>
            <w:tcW w:type="dxa" w:w="2016"/>
            <w:vAlign w:val="center"/>
          </w:tcPr>
          <w:p>
            <w:pPr>
              <w:spacing w:after="0" w:line="240" w:lineRule="auto"/>
            </w:pPr>
            <w:r/>
            <w:r>
              <w:rPr>
                <w:rFonts w:ascii="Aptos" w:hAnsi="Aptos"/>
                <w:b w:val="0"/>
                <w:sz w:val="15"/>
              </w:rPr>
              <w:t>28.7</w:t>
            </w:r>
          </w:p>
        </w:tc>
        <w:tc>
          <w:tcPr>
            <w:tcW w:type="dxa" w:w="2016"/>
            <w:vAlign w:val="center"/>
          </w:tcPr>
          <w:p>
            <w:pPr>
              <w:spacing w:after="0" w:line="240" w:lineRule="auto"/>
            </w:pPr>
            <w:r/>
            <w:r>
              <w:rPr>
                <w:rFonts w:ascii="Aptos" w:hAnsi="Aptos"/>
                <w:b w:val="0"/>
                <w:sz w:val="15"/>
              </w:rPr>
              <w:t>43.8</w:t>
            </w:r>
          </w:p>
        </w:tc>
        <w:tc>
          <w:tcPr>
            <w:tcW w:type="dxa" w:w="2016"/>
            <w:vAlign w:val="center"/>
          </w:tcPr>
          <w:p>
            <w:pPr>
              <w:spacing w:after="0" w:line="240" w:lineRule="auto"/>
            </w:pPr>
            <w:r/>
            <w:r>
              <w:rPr>
                <w:rFonts w:ascii="Aptos" w:hAnsi="Aptos"/>
                <w:b w:val="0"/>
                <w:sz w:val="15"/>
              </w:rPr>
              <w:t>27.5</w:t>
            </w:r>
          </w:p>
        </w:tc>
      </w:tr>
      <w:tr>
        <w:tc>
          <w:tcPr>
            <w:tcW w:type="dxa" w:w="2016"/>
            <w:vAlign w:val="center"/>
          </w:tcPr>
          <w:p>
            <w:pPr>
              <w:spacing w:after="0" w:line="240" w:lineRule="auto"/>
            </w:pPr>
            <w:r/>
            <w:r>
              <w:rPr>
                <w:rFonts w:ascii="Aptos" w:hAnsi="Aptos"/>
                <w:b w:val="0"/>
                <w:sz w:val="15"/>
              </w:rPr>
              <w:t>Anticipated future financial position</w:t>
            </w:r>
          </w:p>
        </w:tc>
        <w:tc>
          <w:tcPr>
            <w:tcW w:type="dxa" w:w="2016"/>
            <w:vAlign w:val="center"/>
          </w:tcPr>
          <w:p>
            <w:pPr>
              <w:spacing w:after="0" w:line="240" w:lineRule="auto"/>
            </w:pPr>
            <w:r/>
            <w:r>
              <w:rPr>
                <w:rFonts w:ascii="Aptos" w:hAnsi="Aptos"/>
                <w:b w:val="0"/>
                <w:sz w:val="15"/>
              </w:rPr>
              <w:t>0.98</w:t>
            </w:r>
          </w:p>
        </w:tc>
        <w:tc>
          <w:tcPr>
            <w:tcW w:type="dxa" w:w="2016"/>
            <w:vAlign w:val="center"/>
          </w:tcPr>
          <w:p>
            <w:pPr>
              <w:spacing w:after="0" w:line="240" w:lineRule="auto"/>
            </w:pPr>
            <w:r/>
            <w:r>
              <w:rPr>
                <w:rFonts w:ascii="Aptos" w:hAnsi="Aptos"/>
                <w:b w:val="0"/>
                <w:sz w:val="15"/>
              </w:rPr>
              <w:t>27.5</w:t>
            </w:r>
          </w:p>
        </w:tc>
        <w:tc>
          <w:tcPr>
            <w:tcW w:type="dxa" w:w="2016"/>
            <w:vAlign w:val="center"/>
          </w:tcPr>
          <w:p>
            <w:pPr>
              <w:spacing w:after="0" w:line="240" w:lineRule="auto"/>
            </w:pPr>
            <w:r/>
            <w:r>
              <w:rPr>
                <w:rFonts w:ascii="Aptos" w:hAnsi="Aptos"/>
                <w:b w:val="0"/>
                <w:sz w:val="15"/>
              </w:rPr>
              <w:t>47.5</w:t>
            </w:r>
          </w:p>
        </w:tc>
        <w:tc>
          <w:tcPr>
            <w:tcW w:type="dxa" w:w="2016"/>
            <w:vAlign w:val="center"/>
          </w:tcPr>
          <w:p>
            <w:pPr>
              <w:spacing w:after="0" w:line="240" w:lineRule="auto"/>
            </w:pPr>
            <w:r/>
            <w:r>
              <w:rPr>
                <w:rFonts w:ascii="Aptos" w:hAnsi="Aptos"/>
                <w:b w:val="0"/>
                <w:sz w:val="15"/>
              </w:rPr>
              <w:t>25.0</w:t>
            </w:r>
          </w:p>
        </w:tc>
      </w:tr>
      <w:tr>
        <w:tc>
          <w:tcPr>
            <w:tcW w:type="dxa" w:w="2016"/>
            <w:vAlign w:val="center"/>
          </w:tcPr>
          <w:p>
            <w:pPr>
              <w:spacing w:after="0" w:line="240" w:lineRule="auto"/>
            </w:pPr>
            <w:r/>
            <w:r>
              <w:rPr>
                <w:rFonts w:ascii="Aptos" w:hAnsi="Aptos"/>
                <w:b w:val="0"/>
                <w:sz w:val="15"/>
              </w:rPr>
              <w:t>Provisions, contingencies &amp; commitments</w:t>
            </w:r>
          </w:p>
        </w:tc>
        <w:tc>
          <w:tcPr>
            <w:tcW w:type="dxa" w:w="2016"/>
            <w:vAlign w:val="center"/>
          </w:tcPr>
          <w:p>
            <w:pPr>
              <w:spacing w:after="0" w:line="240" w:lineRule="auto"/>
            </w:pPr>
            <w:r/>
            <w:r>
              <w:rPr>
                <w:rFonts w:ascii="Aptos" w:hAnsi="Aptos"/>
                <w:b w:val="0"/>
                <w:sz w:val="15"/>
              </w:rPr>
              <w:t>0.55</w:t>
            </w:r>
          </w:p>
        </w:tc>
        <w:tc>
          <w:tcPr>
            <w:tcW w:type="dxa" w:w="2016"/>
            <w:vAlign w:val="center"/>
          </w:tcPr>
          <w:p>
            <w:pPr>
              <w:spacing w:after="0" w:line="240" w:lineRule="auto"/>
            </w:pPr>
            <w:r/>
            <w:r>
              <w:rPr>
                <w:rFonts w:ascii="Aptos" w:hAnsi="Aptos"/>
                <w:b w:val="0"/>
                <w:sz w:val="15"/>
              </w:rPr>
              <w:t>57.5</w:t>
            </w:r>
          </w:p>
        </w:tc>
        <w:tc>
          <w:tcPr>
            <w:tcW w:type="dxa" w:w="2016"/>
            <w:vAlign w:val="center"/>
          </w:tcPr>
          <w:p>
            <w:pPr>
              <w:spacing w:after="0" w:line="240" w:lineRule="auto"/>
            </w:pPr>
            <w:r/>
            <w:r>
              <w:rPr>
                <w:rFonts w:ascii="Aptos" w:hAnsi="Aptos"/>
                <w:b w:val="0"/>
                <w:sz w:val="15"/>
              </w:rPr>
              <w:t>30.0</w:t>
            </w:r>
          </w:p>
        </w:tc>
        <w:tc>
          <w:tcPr>
            <w:tcW w:type="dxa" w:w="2016"/>
            <w:vAlign w:val="center"/>
          </w:tcPr>
          <w:p>
            <w:pPr>
              <w:spacing w:after="0" w:line="240" w:lineRule="auto"/>
            </w:pPr>
            <w:r/>
            <w:r>
              <w:rPr>
                <w:rFonts w:ascii="Aptos" w:hAnsi="Aptos"/>
                <w:b w:val="0"/>
                <w:sz w:val="15"/>
              </w:rPr>
              <w:t>12.5</w:t>
            </w:r>
          </w:p>
        </w:tc>
      </w:tr>
      <w:tr>
        <w:tc>
          <w:tcPr>
            <w:tcW w:type="dxa" w:w="2016"/>
            <w:vAlign w:val="center"/>
          </w:tcPr>
          <w:p>
            <w:pPr>
              <w:spacing w:after="0" w:line="240" w:lineRule="auto"/>
            </w:pPr>
            <w:r/>
            <w:r>
              <w:rPr>
                <w:rFonts w:ascii="Aptos" w:hAnsi="Aptos"/>
                <w:b w:val="0"/>
                <w:sz w:val="15"/>
              </w:rPr>
              <w:t>Current cash flows</w:t>
            </w:r>
          </w:p>
        </w:tc>
        <w:tc>
          <w:tcPr>
            <w:tcW w:type="dxa" w:w="2016"/>
            <w:vAlign w:val="center"/>
          </w:tcPr>
          <w:p>
            <w:pPr>
              <w:spacing w:after="0" w:line="240" w:lineRule="auto"/>
            </w:pPr>
            <w:r/>
            <w:r>
              <w:rPr>
                <w:rFonts w:ascii="Aptos" w:hAnsi="Aptos"/>
                <w:b w:val="0"/>
                <w:sz w:val="15"/>
              </w:rPr>
              <w:t>0.51</w:t>
            </w:r>
          </w:p>
        </w:tc>
        <w:tc>
          <w:tcPr>
            <w:tcW w:type="dxa" w:w="2016"/>
            <w:vAlign w:val="center"/>
          </w:tcPr>
          <w:p>
            <w:pPr>
              <w:spacing w:after="0" w:line="240" w:lineRule="auto"/>
            </w:pPr>
            <w:r/>
            <w:r>
              <w:rPr>
                <w:rFonts w:ascii="Aptos" w:hAnsi="Aptos"/>
                <w:b w:val="0"/>
                <w:sz w:val="15"/>
              </w:rPr>
              <w:t>72.5</w:t>
            </w:r>
          </w:p>
        </w:tc>
        <w:tc>
          <w:tcPr>
            <w:tcW w:type="dxa" w:w="2016"/>
            <w:vAlign w:val="center"/>
          </w:tcPr>
          <w:p>
            <w:pPr>
              <w:spacing w:after="0" w:line="240" w:lineRule="auto"/>
            </w:pPr>
            <w:r/>
            <w:r>
              <w:rPr>
                <w:rFonts w:ascii="Aptos" w:hAnsi="Aptos"/>
                <w:b w:val="0"/>
                <w:sz w:val="15"/>
              </w:rPr>
              <w:t>3.8</w:t>
            </w:r>
          </w:p>
        </w:tc>
        <w:tc>
          <w:tcPr>
            <w:tcW w:type="dxa" w:w="2016"/>
            <w:vAlign w:val="center"/>
          </w:tcPr>
          <w:p>
            <w:pPr>
              <w:spacing w:after="0" w:line="240" w:lineRule="auto"/>
            </w:pPr>
            <w:r/>
            <w:r>
              <w:rPr>
                <w:rFonts w:ascii="Aptos" w:hAnsi="Aptos"/>
                <w:b w:val="0"/>
                <w:sz w:val="15"/>
              </w:rPr>
              <w:t>23.8</w:t>
            </w:r>
          </w:p>
        </w:tc>
      </w:tr>
      <w:tr>
        <w:tc>
          <w:tcPr>
            <w:tcW w:type="dxa" w:w="2016"/>
            <w:vAlign w:val="center"/>
          </w:tcPr>
          <w:p>
            <w:pPr>
              <w:spacing w:after="0" w:line="240" w:lineRule="auto"/>
            </w:pPr>
            <w:r/>
            <w:r>
              <w:rPr>
                <w:rFonts w:ascii="Aptos" w:hAnsi="Aptos"/>
                <w:b w:val="0"/>
                <w:sz w:val="15"/>
              </w:rPr>
              <w:t>Current financial performance</w:t>
            </w:r>
          </w:p>
        </w:tc>
        <w:tc>
          <w:tcPr>
            <w:tcW w:type="dxa" w:w="2016"/>
            <w:vAlign w:val="center"/>
          </w:tcPr>
          <w:p>
            <w:pPr>
              <w:spacing w:after="0" w:line="240" w:lineRule="auto"/>
            </w:pPr>
            <w:r/>
            <w:r>
              <w:rPr>
                <w:rFonts w:ascii="Aptos" w:hAnsi="Aptos"/>
                <w:b w:val="0"/>
                <w:sz w:val="15"/>
              </w:rPr>
              <w:t>0.44</w:t>
            </w:r>
          </w:p>
        </w:tc>
        <w:tc>
          <w:tcPr>
            <w:tcW w:type="dxa" w:w="2016"/>
            <w:vAlign w:val="center"/>
          </w:tcPr>
          <w:p>
            <w:pPr>
              <w:spacing w:after="0" w:line="240" w:lineRule="auto"/>
            </w:pPr>
            <w:r/>
            <w:r>
              <w:rPr>
                <w:rFonts w:ascii="Aptos" w:hAnsi="Aptos"/>
                <w:b w:val="0"/>
                <w:sz w:val="15"/>
              </w:rPr>
              <w:t>68.8</w:t>
            </w:r>
          </w:p>
        </w:tc>
        <w:tc>
          <w:tcPr>
            <w:tcW w:type="dxa" w:w="2016"/>
            <w:vAlign w:val="center"/>
          </w:tcPr>
          <w:p>
            <w:pPr>
              <w:spacing w:after="0" w:line="240" w:lineRule="auto"/>
            </w:pPr>
            <w:r/>
            <w:r>
              <w:rPr>
                <w:rFonts w:ascii="Aptos" w:hAnsi="Aptos"/>
                <w:b w:val="0"/>
                <w:sz w:val="15"/>
              </w:rPr>
              <w:t>18.8</w:t>
            </w:r>
          </w:p>
        </w:tc>
        <w:tc>
          <w:tcPr>
            <w:tcW w:type="dxa" w:w="2016"/>
            <w:vAlign w:val="center"/>
          </w:tcPr>
          <w:p>
            <w:pPr>
              <w:spacing w:after="0" w:line="240" w:lineRule="auto"/>
            </w:pPr>
            <w:r/>
            <w:r>
              <w:rPr>
                <w:rFonts w:ascii="Aptos" w:hAnsi="Aptos"/>
                <w:b w:val="0"/>
                <w:sz w:val="15"/>
              </w:rPr>
              <w:t>12.5</w:t>
            </w:r>
          </w:p>
        </w:tc>
      </w:tr>
      <w:tr>
        <w:tc>
          <w:tcPr>
            <w:tcW w:type="dxa" w:w="2016"/>
            <w:vAlign w:val="center"/>
          </w:tcPr>
          <w:p>
            <w:pPr>
              <w:spacing w:after="0" w:line="240" w:lineRule="auto"/>
            </w:pPr>
            <w:r/>
            <w:r>
              <w:rPr>
                <w:rFonts w:ascii="Aptos" w:hAnsi="Aptos"/>
                <w:b w:val="0"/>
                <w:sz w:val="15"/>
              </w:rPr>
              <w:t>Current financial position</w:t>
            </w:r>
          </w:p>
        </w:tc>
        <w:tc>
          <w:tcPr>
            <w:tcW w:type="dxa" w:w="2016"/>
            <w:vAlign w:val="center"/>
          </w:tcPr>
          <w:p>
            <w:pPr>
              <w:spacing w:after="0" w:line="240" w:lineRule="auto"/>
            </w:pPr>
            <w:r/>
            <w:r>
              <w:rPr>
                <w:rFonts w:ascii="Aptos" w:hAnsi="Aptos"/>
                <w:b w:val="0"/>
                <w:sz w:val="15"/>
              </w:rPr>
              <w:t>0.34</w:t>
            </w:r>
          </w:p>
        </w:tc>
        <w:tc>
          <w:tcPr>
            <w:tcW w:type="dxa" w:w="2016"/>
            <w:vAlign w:val="center"/>
          </w:tcPr>
          <w:p>
            <w:pPr>
              <w:spacing w:after="0" w:line="240" w:lineRule="auto"/>
            </w:pPr>
            <w:r/>
            <w:r>
              <w:rPr>
                <w:rFonts w:ascii="Aptos" w:hAnsi="Aptos"/>
                <w:b w:val="0"/>
                <w:sz w:val="15"/>
              </w:rPr>
              <w:t>77.5</w:t>
            </w:r>
          </w:p>
        </w:tc>
        <w:tc>
          <w:tcPr>
            <w:tcW w:type="dxa" w:w="2016"/>
            <w:vAlign w:val="center"/>
          </w:tcPr>
          <w:p>
            <w:pPr>
              <w:spacing w:after="0" w:line="240" w:lineRule="auto"/>
            </w:pPr>
            <w:r/>
            <w:r>
              <w:rPr>
                <w:rFonts w:ascii="Aptos" w:hAnsi="Aptos"/>
                <w:b w:val="0"/>
                <w:sz w:val="15"/>
              </w:rPr>
              <w:t>11.2</w:t>
            </w:r>
          </w:p>
        </w:tc>
        <w:tc>
          <w:tcPr>
            <w:tcW w:type="dxa" w:w="2016"/>
            <w:vAlign w:val="center"/>
          </w:tcPr>
          <w:p>
            <w:pPr>
              <w:spacing w:after="0" w:line="240" w:lineRule="auto"/>
            </w:pPr>
            <w:r/>
            <w:r>
              <w:rPr>
                <w:rFonts w:ascii="Aptos" w:hAnsi="Aptos"/>
                <w:b w:val="0"/>
                <w:sz w:val="15"/>
              </w:rPr>
              <w:t>11.2</w:t>
            </w:r>
          </w:p>
        </w:tc>
      </w:tr>
    </w:tbl>
    <w:p>
      <w:pPr>
        <w:jc w:val="center"/>
      </w:pPr>
      <w:r>
        <w:drawing>
          <wp:inline xmlns:a="http://schemas.openxmlformats.org/drawingml/2006/main" xmlns:pic="http://schemas.openxmlformats.org/drawingml/2006/picture">
            <wp:extent cx="5943600" cy="3512127"/>
            <wp:docPr id="3" name="Picture 3"/>
            <wp:cNvGraphicFramePr>
              <a:graphicFrameLocks noChangeAspect="1"/>
            </wp:cNvGraphicFramePr>
            <a:graphic>
              <a:graphicData uri="http://schemas.openxmlformats.org/drawingml/2006/picture">
                <pic:pic>
                  <pic:nvPicPr>
                    <pic:cNvPr id="0" name="04_item_heatmap.png"/>
                    <pic:cNvPicPr/>
                  </pic:nvPicPr>
                  <pic:blipFill>
                    <a:blip r:embed="rId11"/>
                    <a:stretch>
                      <a:fillRect/>
                    </a:stretch>
                  </pic:blipFill>
                  <pic:spPr>
                    <a:xfrm>
                      <a:off x="0" y="0"/>
                      <a:ext cx="5943600" cy="3512127"/>
                    </a:xfrm>
                    <a:prstGeom prst="rect"/>
                  </pic:spPr>
                </pic:pic>
              </a:graphicData>
            </a:graphic>
          </wp:inline>
        </w:drawing>
      </w:r>
    </w:p>
    <w:p>
      <w:pPr>
        <w:spacing w:after="120"/>
        <w:jc w:val="center"/>
      </w:pPr>
      <w:r>
        <w:rPr>
          <w:i/>
          <w:sz w:val="17"/>
        </w:rPr>
        <w:t>Figure 3. Mean item scores by sector and reporting cycle.</w:t>
      </w:r>
    </w:p>
    <w:p>
      <w:pPr>
        <w:pStyle w:val="Heading1"/>
        <w:keepNext/>
        <w:keepLines/>
        <w:pageBreakBefore/>
      </w:pPr>
      <w:r>
        <w:t>10. RQ2 – Determinants of CFCQI</w:t>
      </w:r>
    </w:p>
    <w:p>
      <w:r>
        <w:t>The primary RQ2 model is pooled OLS with firm-clustered robust standard errors. CFCQI is the dependent variable. Firm size, external assurance and board oversight are the focal predictors; leverage, ROA, TCFD group and reporting cycle are controls.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2F75B5"/>
          </w:tcPr>
          <w:p>
            <w:pPr>
              <w:spacing w:after="0" w:line="240" w:lineRule="auto"/>
            </w:pPr>
            <w:r/>
            <w:r>
              <w:rPr>
                <w:rFonts w:ascii="Aptos" w:hAnsi="Aptos"/>
                <w:b/>
                <w:color w:val="FFFFFF"/>
                <w:sz w:val="16"/>
              </w:rPr>
              <w:t>Predictor</w:t>
            </w:r>
          </w:p>
        </w:tc>
        <w:tc>
          <w:tcPr>
            <w:tcW w:type="dxa" w:w="2016"/>
            <w:vAlign w:val="center"/>
            <w:shd w:fill="2F75B5"/>
          </w:tcPr>
          <w:p>
            <w:pPr>
              <w:spacing w:after="0" w:line="240" w:lineRule="auto"/>
            </w:pPr>
            <w:r/>
            <w:r>
              <w:rPr>
                <w:rFonts w:ascii="Aptos" w:hAnsi="Aptos"/>
                <w:b/>
                <w:color w:val="FFFFFF"/>
                <w:sz w:val="16"/>
              </w:rPr>
              <w:t>Coefficient</w:t>
            </w:r>
          </w:p>
        </w:tc>
        <w:tc>
          <w:tcPr>
            <w:tcW w:type="dxa" w:w="2016"/>
            <w:vAlign w:val="center"/>
            <w:shd w:fill="2F75B5"/>
          </w:tcPr>
          <w:p>
            <w:pPr>
              <w:spacing w:after="0" w:line="240" w:lineRule="auto"/>
            </w:pPr>
            <w:r/>
            <w:r>
              <w:rPr>
                <w:rFonts w:ascii="Aptos" w:hAnsi="Aptos"/>
                <w:b/>
                <w:color w:val="FFFFFF"/>
                <w:sz w:val="16"/>
              </w:rPr>
              <w:t>Clustered SE</w:t>
            </w:r>
          </w:p>
        </w:tc>
        <w:tc>
          <w:tcPr>
            <w:tcW w:type="dxa" w:w="2016"/>
            <w:vAlign w:val="center"/>
            <w:shd w:fill="2F75B5"/>
          </w:tcPr>
          <w:p>
            <w:pPr>
              <w:spacing w:after="0" w:line="240" w:lineRule="auto"/>
            </w:pPr>
            <w:r/>
            <w:r>
              <w:rPr>
                <w:rFonts w:ascii="Aptos" w:hAnsi="Aptos"/>
                <w:b/>
                <w:color w:val="FFFFFF"/>
                <w:sz w:val="16"/>
              </w:rPr>
              <w:t>p-value</w:t>
            </w:r>
          </w:p>
        </w:tc>
        <w:tc>
          <w:tcPr>
            <w:tcW w:type="dxa" w:w="2016"/>
            <w:vAlign w:val="center"/>
            <w:shd w:fill="2F75B5"/>
          </w:tcPr>
          <w:p>
            <w:pPr>
              <w:spacing w:after="0" w:line="240" w:lineRule="auto"/>
            </w:pPr>
            <w:r/>
            <w:r>
              <w:rPr>
                <w:rFonts w:ascii="Aptos" w:hAnsi="Aptos"/>
                <w:b/>
                <w:color w:val="FFFFFF"/>
                <w:sz w:val="16"/>
              </w:rPr>
              <w:t>95% CI</w:t>
            </w:r>
          </w:p>
        </w:tc>
      </w:tr>
      <w:tr>
        <w:tc>
          <w:tcPr>
            <w:tcW w:type="dxa" w:w="2016"/>
            <w:vAlign w:val="center"/>
          </w:tcPr>
          <w:p>
            <w:pPr>
              <w:spacing w:after="0" w:line="240" w:lineRule="auto"/>
            </w:pPr>
            <w:r/>
            <w:r>
              <w:rPr>
                <w:rFonts w:ascii="Aptos" w:hAnsi="Aptos"/>
                <w:b w:val="0"/>
                <w:sz w:val="16"/>
              </w:rPr>
              <w:t>Firm size (ln assets)</w:t>
            </w:r>
          </w:p>
        </w:tc>
        <w:tc>
          <w:tcPr>
            <w:tcW w:type="dxa" w:w="2016"/>
            <w:vAlign w:val="center"/>
          </w:tcPr>
          <w:p>
            <w:pPr>
              <w:spacing w:after="0" w:line="240" w:lineRule="auto"/>
            </w:pPr>
            <w:r/>
            <w:r>
              <w:rPr>
                <w:rFonts w:ascii="Aptos" w:hAnsi="Aptos"/>
                <w:b w:val="0"/>
                <w:sz w:val="16"/>
              </w:rPr>
              <w:t>4.597</w:t>
            </w:r>
          </w:p>
        </w:tc>
        <w:tc>
          <w:tcPr>
            <w:tcW w:type="dxa" w:w="2016"/>
            <w:vAlign w:val="center"/>
          </w:tcPr>
          <w:p>
            <w:pPr>
              <w:spacing w:after="0" w:line="240" w:lineRule="auto"/>
            </w:pPr>
            <w:r/>
            <w:r>
              <w:rPr>
                <w:rFonts w:ascii="Aptos" w:hAnsi="Aptos"/>
                <w:b w:val="0"/>
                <w:sz w:val="16"/>
              </w:rPr>
              <w:t>1.949</w:t>
            </w:r>
          </w:p>
        </w:tc>
        <w:tc>
          <w:tcPr>
            <w:tcW w:type="dxa" w:w="2016"/>
            <w:vAlign w:val="center"/>
          </w:tcPr>
          <w:p>
            <w:pPr>
              <w:spacing w:after="0" w:line="240" w:lineRule="auto"/>
            </w:pPr>
            <w:r/>
            <w:r>
              <w:rPr>
                <w:rFonts w:ascii="Aptos" w:hAnsi="Aptos"/>
                <w:b w:val="0"/>
                <w:sz w:val="16"/>
              </w:rPr>
              <w:t>0.0183</w:t>
            </w:r>
          </w:p>
        </w:tc>
        <w:tc>
          <w:tcPr>
            <w:tcW w:type="dxa" w:w="2016"/>
            <w:vAlign w:val="center"/>
          </w:tcPr>
          <w:p>
            <w:pPr>
              <w:spacing w:after="0" w:line="240" w:lineRule="auto"/>
            </w:pPr>
            <w:r/>
            <w:r>
              <w:rPr>
                <w:rFonts w:ascii="Aptos" w:hAnsi="Aptos"/>
                <w:b w:val="0"/>
                <w:sz w:val="16"/>
              </w:rPr>
              <w:t>[0.777, 8.417]</w:t>
            </w:r>
          </w:p>
        </w:tc>
      </w:tr>
      <w:tr>
        <w:tc>
          <w:tcPr>
            <w:tcW w:type="dxa" w:w="2016"/>
            <w:vAlign w:val="center"/>
          </w:tcPr>
          <w:p>
            <w:pPr>
              <w:spacing w:after="0" w:line="240" w:lineRule="auto"/>
            </w:pPr>
            <w:r/>
            <w:r>
              <w:rPr>
                <w:rFonts w:ascii="Aptos" w:hAnsi="Aptos"/>
                <w:b w:val="0"/>
                <w:sz w:val="16"/>
              </w:rPr>
              <w:t>External assurance</w:t>
            </w:r>
          </w:p>
        </w:tc>
        <w:tc>
          <w:tcPr>
            <w:tcW w:type="dxa" w:w="2016"/>
            <w:vAlign w:val="center"/>
          </w:tcPr>
          <w:p>
            <w:pPr>
              <w:spacing w:after="0" w:line="240" w:lineRule="auto"/>
            </w:pPr>
            <w:r/>
            <w:r>
              <w:rPr>
                <w:rFonts w:ascii="Aptos" w:hAnsi="Aptos"/>
                <w:b w:val="0"/>
                <w:sz w:val="16"/>
              </w:rPr>
              <w:t>11.171</w:t>
            </w:r>
          </w:p>
        </w:tc>
        <w:tc>
          <w:tcPr>
            <w:tcW w:type="dxa" w:w="2016"/>
            <w:vAlign w:val="center"/>
          </w:tcPr>
          <w:p>
            <w:pPr>
              <w:spacing w:after="0" w:line="240" w:lineRule="auto"/>
            </w:pPr>
            <w:r/>
            <w:r>
              <w:rPr>
                <w:rFonts w:ascii="Aptos" w:hAnsi="Aptos"/>
                <w:b w:val="0"/>
                <w:sz w:val="16"/>
              </w:rPr>
              <w:t>8.433</w:t>
            </w:r>
          </w:p>
        </w:tc>
        <w:tc>
          <w:tcPr>
            <w:tcW w:type="dxa" w:w="2016"/>
            <w:vAlign w:val="center"/>
          </w:tcPr>
          <w:p>
            <w:pPr>
              <w:spacing w:after="0" w:line="240" w:lineRule="auto"/>
            </w:pPr>
            <w:r/>
            <w:r>
              <w:rPr>
                <w:rFonts w:ascii="Aptos" w:hAnsi="Aptos"/>
                <w:b w:val="0"/>
                <w:sz w:val="16"/>
              </w:rPr>
              <w:t>0.1853</w:t>
            </w:r>
          </w:p>
        </w:tc>
        <w:tc>
          <w:tcPr>
            <w:tcW w:type="dxa" w:w="2016"/>
            <w:vAlign w:val="center"/>
          </w:tcPr>
          <w:p>
            <w:pPr>
              <w:spacing w:after="0" w:line="240" w:lineRule="auto"/>
            </w:pPr>
            <w:r/>
            <w:r>
              <w:rPr>
                <w:rFonts w:ascii="Aptos" w:hAnsi="Aptos"/>
                <w:b w:val="0"/>
                <w:sz w:val="16"/>
              </w:rPr>
              <w:t>[-5.358, 27.700]</w:t>
            </w:r>
          </w:p>
        </w:tc>
      </w:tr>
      <w:tr>
        <w:tc>
          <w:tcPr>
            <w:tcW w:type="dxa" w:w="2016"/>
            <w:vAlign w:val="center"/>
          </w:tcPr>
          <w:p>
            <w:pPr>
              <w:spacing w:after="0" w:line="240" w:lineRule="auto"/>
            </w:pPr>
            <w:r/>
            <w:r>
              <w:rPr>
                <w:rFonts w:ascii="Aptos" w:hAnsi="Aptos"/>
                <w:b w:val="0"/>
                <w:sz w:val="16"/>
              </w:rPr>
              <w:t>Board oversight</w:t>
            </w:r>
          </w:p>
        </w:tc>
        <w:tc>
          <w:tcPr>
            <w:tcW w:type="dxa" w:w="2016"/>
            <w:vAlign w:val="center"/>
          </w:tcPr>
          <w:p>
            <w:pPr>
              <w:spacing w:after="0" w:line="240" w:lineRule="auto"/>
            </w:pPr>
            <w:r/>
            <w:r>
              <w:rPr>
                <w:rFonts w:ascii="Aptos" w:hAnsi="Aptos"/>
                <w:b w:val="0"/>
                <w:sz w:val="16"/>
              </w:rPr>
              <w:t>23.763</w:t>
            </w:r>
          </w:p>
        </w:tc>
        <w:tc>
          <w:tcPr>
            <w:tcW w:type="dxa" w:w="2016"/>
            <w:vAlign w:val="center"/>
          </w:tcPr>
          <w:p>
            <w:pPr>
              <w:spacing w:after="0" w:line="240" w:lineRule="auto"/>
            </w:pPr>
            <w:r/>
            <w:r>
              <w:rPr>
                <w:rFonts w:ascii="Aptos" w:hAnsi="Aptos"/>
                <w:b w:val="0"/>
                <w:sz w:val="16"/>
              </w:rPr>
              <w:t>5.247</w:t>
            </w:r>
          </w:p>
        </w:tc>
        <w:tc>
          <w:tcPr>
            <w:tcW w:type="dxa" w:w="2016"/>
            <w:vAlign w:val="center"/>
          </w:tcPr>
          <w:p>
            <w:pPr>
              <w:spacing w:after="0" w:line="240" w:lineRule="auto"/>
            </w:pPr>
            <w:r/>
            <w:r>
              <w:rPr>
                <w:rFonts w:ascii="Aptos" w:hAnsi="Aptos"/>
                <w:b w:val="0"/>
                <w:sz w:val="16"/>
              </w:rPr>
              <w:t>0.0000</w:t>
            </w:r>
          </w:p>
        </w:tc>
        <w:tc>
          <w:tcPr>
            <w:tcW w:type="dxa" w:w="2016"/>
            <w:vAlign w:val="center"/>
          </w:tcPr>
          <w:p>
            <w:pPr>
              <w:spacing w:after="0" w:line="240" w:lineRule="auto"/>
            </w:pPr>
            <w:r/>
            <w:r>
              <w:rPr>
                <w:rFonts w:ascii="Aptos" w:hAnsi="Aptos"/>
                <w:b w:val="0"/>
                <w:sz w:val="16"/>
              </w:rPr>
              <w:t>[13.479, 34.047]</w:t>
            </w:r>
          </w:p>
        </w:tc>
      </w:tr>
      <w:tr>
        <w:tc>
          <w:tcPr>
            <w:tcW w:type="dxa" w:w="2016"/>
            <w:vAlign w:val="center"/>
          </w:tcPr>
          <w:p>
            <w:pPr>
              <w:spacing w:after="0" w:line="240" w:lineRule="auto"/>
            </w:pPr>
            <w:r/>
            <w:r>
              <w:rPr>
                <w:rFonts w:ascii="Aptos" w:hAnsi="Aptos"/>
                <w:b w:val="0"/>
                <w:sz w:val="16"/>
              </w:rPr>
              <w:t>Leverage</w:t>
            </w:r>
          </w:p>
        </w:tc>
        <w:tc>
          <w:tcPr>
            <w:tcW w:type="dxa" w:w="2016"/>
            <w:vAlign w:val="center"/>
          </w:tcPr>
          <w:p>
            <w:pPr>
              <w:spacing w:after="0" w:line="240" w:lineRule="auto"/>
            </w:pPr>
            <w:r/>
            <w:r>
              <w:rPr>
                <w:rFonts w:ascii="Aptos" w:hAnsi="Aptos"/>
                <w:b w:val="0"/>
                <w:sz w:val="16"/>
              </w:rPr>
              <w:t>8.468</w:t>
            </w:r>
          </w:p>
        </w:tc>
        <w:tc>
          <w:tcPr>
            <w:tcW w:type="dxa" w:w="2016"/>
            <w:vAlign w:val="center"/>
          </w:tcPr>
          <w:p>
            <w:pPr>
              <w:spacing w:after="0" w:line="240" w:lineRule="auto"/>
            </w:pPr>
            <w:r/>
            <w:r>
              <w:rPr>
                <w:rFonts w:ascii="Aptos" w:hAnsi="Aptos"/>
                <w:b w:val="0"/>
                <w:sz w:val="16"/>
              </w:rPr>
              <w:t>15.773</w:t>
            </w:r>
          </w:p>
        </w:tc>
        <w:tc>
          <w:tcPr>
            <w:tcW w:type="dxa" w:w="2016"/>
            <w:vAlign w:val="center"/>
          </w:tcPr>
          <w:p>
            <w:pPr>
              <w:spacing w:after="0" w:line="240" w:lineRule="auto"/>
            </w:pPr>
            <w:r/>
            <w:r>
              <w:rPr>
                <w:rFonts w:ascii="Aptos" w:hAnsi="Aptos"/>
                <w:b w:val="0"/>
                <w:sz w:val="16"/>
              </w:rPr>
              <w:t>0.5914</w:t>
            </w:r>
          </w:p>
        </w:tc>
        <w:tc>
          <w:tcPr>
            <w:tcW w:type="dxa" w:w="2016"/>
            <w:vAlign w:val="center"/>
          </w:tcPr>
          <w:p>
            <w:pPr>
              <w:spacing w:after="0" w:line="240" w:lineRule="auto"/>
            </w:pPr>
            <w:r/>
            <w:r>
              <w:rPr>
                <w:rFonts w:ascii="Aptos" w:hAnsi="Aptos"/>
                <w:b w:val="0"/>
                <w:sz w:val="16"/>
              </w:rPr>
              <w:t>[-22.448, 39.383]</w:t>
            </w:r>
          </w:p>
        </w:tc>
      </w:tr>
      <w:tr>
        <w:tc>
          <w:tcPr>
            <w:tcW w:type="dxa" w:w="2016"/>
            <w:vAlign w:val="center"/>
          </w:tcPr>
          <w:p>
            <w:pPr>
              <w:spacing w:after="0" w:line="240" w:lineRule="auto"/>
            </w:pPr>
            <w:r/>
            <w:r>
              <w:rPr>
                <w:rFonts w:ascii="Aptos" w:hAnsi="Aptos"/>
                <w:b w:val="0"/>
                <w:sz w:val="16"/>
              </w:rPr>
              <w:t>ROA</w:t>
            </w:r>
          </w:p>
        </w:tc>
        <w:tc>
          <w:tcPr>
            <w:tcW w:type="dxa" w:w="2016"/>
            <w:vAlign w:val="center"/>
          </w:tcPr>
          <w:p>
            <w:pPr>
              <w:spacing w:after="0" w:line="240" w:lineRule="auto"/>
            </w:pPr>
            <w:r/>
            <w:r>
              <w:rPr>
                <w:rFonts w:ascii="Aptos" w:hAnsi="Aptos"/>
                <w:b w:val="0"/>
                <w:sz w:val="16"/>
              </w:rPr>
              <w:t>49.574</w:t>
            </w:r>
          </w:p>
        </w:tc>
        <w:tc>
          <w:tcPr>
            <w:tcW w:type="dxa" w:w="2016"/>
            <w:vAlign w:val="center"/>
          </w:tcPr>
          <w:p>
            <w:pPr>
              <w:spacing w:after="0" w:line="240" w:lineRule="auto"/>
            </w:pPr>
            <w:r/>
            <w:r>
              <w:rPr>
                <w:rFonts w:ascii="Aptos" w:hAnsi="Aptos"/>
                <w:b w:val="0"/>
                <w:sz w:val="16"/>
              </w:rPr>
              <w:t>24.334</w:t>
            </w:r>
          </w:p>
        </w:tc>
        <w:tc>
          <w:tcPr>
            <w:tcW w:type="dxa" w:w="2016"/>
            <w:vAlign w:val="center"/>
          </w:tcPr>
          <w:p>
            <w:pPr>
              <w:spacing w:after="0" w:line="240" w:lineRule="auto"/>
            </w:pPr>
            <w:r/>
            <w:r>
              <w:rPr>
                <w:rFonts w:ascii="Aptos" w:hAnsi="Aptos"/>
                <w:b w:val="0"/>
                <w:sz w:val="16"/>
              </w:rPr>
              <w:t>0.0416</w:t>
            </w:r>
          </w:p>
        </w:tc>
        <w:tc>
          <w:tcPr>
            <w:tcW w:type="dxa" w:w="2016"/>
            <w:vAlign w:val="center"/>
          </w:tcPr>
          <w:p>
            <w:pPr>
              <w:spacing w:after="0" w:line="240" w:lineRule="auto"/>
            </w:pPr>
            <w:r/>
            <w:r>
              <w:rPr>
                <w:rFonts w:ascii="Aptos" w:hAnsi="Aptos"/>
                <w:b w:val="0"/>
                <w:sz w:val="16"/>
              </w:rPr>
              <w:t>[1.880, 97.269]</w:t>
            </w:r>
          </w:p>
        </w:tc>
      </w:tr>
    </w:tbl>
    <w:p>
      <w:r>
        <w:t>The model R² is 0.478 (adjusted R² 0.410). H1 is supported in the primary pooled model: a one-unit increase in log assets is associated with approximately 4.60 additional CFCQI points (p=0.018). H2 is not supported: the assurance coefficient is positive but imprecise and non-significant (p=0.185). H3 is strongly supported: qualifying board oversight is associated with approximately 23.76 additional CFCQI points (p&lt;0.001), conditional on the other model terms.</w:t>
      </w:r>
    </w:p>
    <w:p>
      <w:r>
        <w:t>ROA is also positive and statistically significant at the 5% level in the primary specification (p=0.042). Energy has a higher adjusted CFCQI than the Agriculture/Food/Forest reference group (p=0.040). These control/sector results should be treated as secondary to the pre-specified hypotheses.</w:t>
      </w:r>
    </w:p>
    <w:p>
      <w:pPr>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06_regression_coefficients.png"/>
                    <pic:cNvPicPr/>
                  </pic:nvPicPr>
                  <pic:blipFill>
                    <a:blip r:embed="rId12"/>
                    <a:stretch>
                      <a:fillRect/>
                    </a:stretch>
                  </pic:blipFill>
                  <pic:spPr>
                    <a:xfrm>
                      <a:off x="0" y="0"/>
                      <a:ext cx="5669280" cy="3644537"/>
                    </a:xfrm>
                    <a:prstGeom prst="rect"/>
                  </pic:spPr>
                </pic:pic>
              </a:graphicData>
            </a:graphic>
          </wp:inline>
        </w:drawing>
      </w:r>
    </w:p>
    <w:p>
      <w:pPr>
        <w:spacing w:after="120"/>
        <w:jc w:val="center"/>
      </w:pPr>
      <w:r>
        <w:rPr>
          <w:i/>
          <w:sz w:val="17"/>
        </w:rPr>
        <w:t>Figure 4. Primary RQ2 coefficients and 95% confidence intervals.</w:t>
      </w:r>
    </w:p>
    <w:p>
      <w:pPr>
        <w:pStyle w:val="Heading1"/>
        <w:keepNext/>
        <w:keepLines/>
      </w:pPr>
      <w:r>
        <w:t>11. RQ2 Diagnostics and Robustness</w:t>
      </w:r>
    </w:p>
    <w:p>
      <w:r>
        <w:t>The maximum VIF is 1.93, so multicollinearity is not a material concern. Breusch–Pagan p=0.0438 indicates mild heteroscedasticity; the primary model already uses firm-clustered robust standard errors. Residual normality is not rejected (Shapiro p=0.2918). Six firm-years exceed Cook’s D &gt; 4/n in the original diagnostic pass.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F75B5"/>
          </w:tcPr>
          <w:p>
            <w:pPr>
              <w:spacing w:after="0" w:line="240" w:lineRule="auto"/>
            </w:pPr>
            <w:r/>
            <w:r>
              <w:rPr>
                <w:rFonts w:ascii="Aptos" w:hAnsi="Aptos"/>
                <w:b/>
                <w:color w:val="FFFFFF"/>
                <w:sz w:val="16"/>
              </w:rPr>
              <w:t>Specification</w:t>
            </w:r>
          </w:p>
        </w:tc>
        <w:tc>
          <w:tcPr>
            <w:tcW w:type="dxa" w:w="2520"/>
            <w:vAlign w:val="center"/>
            <w:shd w:fill="2F75B5"/>
          </w:tcPr>
          <w:p>
            <w:pPr>
              <w:spacing w:after="0" w:line="240" w:lineRule="auto"/>
            </w:pPr>
            <w:r/>
            <w:r>
              <w:rPr>
                <w:rFonts w:ascii="Aptos" w:hAnsi="Aptos"/>
                <w:b/>
                <w:color w:val="FFFFFF"/>
                <w:sz w:val="16"/>
              </w:rPr>
              <w:t>H1 p</w:t>
            </w:r>
          </w:p>
        </w:tc>
        <w:tc>
          <w:tcPr>
            <w:tcW w:type="dxa" w:w="2520"/>
            <w:vAlign w:val="center"/>
            <w:shd w:fill="2F75B5"/>
          </w:tcPr>
          <w:p>
            <w:pPr>
              <w:spacing w:after="0" w:line="240" w:lineRule="auto"/>
            </w:pPr>
            <w:r/>
            <w:r>
              <w:rPr>
                <w:rFonts w:ascii="Aptos" w:hAnsi="Aptos"/>
                <w:b/>
                <w:color w:val="FFFFFF"/>
                <w:sz w:val="16"/>
              </w:rPr>
              <w:t>H2 p</w:t>
            </w:r>
          </w:p>
        </w:tc>
        <w:tc>
          <w:tcPr>
            <w:tcW w:type="dxa" w:w="2520"/>
            <w:vAlign w:val="center"/>
            <w:shd w:fill="2F75B5"/>
          </w:tcPr>
          <w:p>
            <w:pPr>
              <w:spacing w:after="0" w:line="240" w:lineRule="auto"/>
            </w:pPr>
            <w:r/>
            <w:r>
              <w:rPr>
                <w:rFonts w:ascii="Aptos" w:hAnsi="Aptos"/>
                <w:b/>
                <w:color w:val="FFFFFF"/>
                <w:sz w:val="16"/>
              </w:rPr>
              <w:t>H3 p</w:t>
            </w:r>
          </w:p>
        </w:tc>
      </w:tr>
      <w:tr>
        <w:tc>
          <w:tcPr>
            <w:tcW w:type="dxa" w:w="2520"/>
            <w:vAlign w:val="center"/>
          </w:tcPr>
          <w:p>
            <w:pPr>
              <w:spacing w:after="0" w:line="240" w:lineRule="auto"/>
            </w:pPr>
            <w:r/>
            <w:r>
              <w:rPr>
                <w:rFonts w:ascii="Aptos" w:hAnsi="Aptos"/>
                <w:b w:val="0"/>
                <w:sz w:val="16"/>
              </w:rPr>
              <w:t>Base pooled</w:t>
            </w:r>
          </w:p>
        </w:tc>
        <w:tc>
          <w:tcPr>
            <w:tcW w:type="dxa" w:w="2520"/>
            <w:vAlign w:val="center"/>
          </w:tcPr>
          <w:p>
            <w:pPr>
              <w:spacing w:after="0" w:line="240" w:lineRule="auto"/>
            </w:pPr>
            <w:r/>
            <w:r>
              <w:rPr>
                <w:rFonts w:ascii="Aptos" w:hAnsi="Aptos"/>
                <w:b w:val="0"/>
                <w:sz w:val="16"/>
              </w:rPr>
              <w:t>0.0183</w:t>
            </w:r>
          </w:p>
        </w:tc>
        <w:tc>
          <w:tcPr>
            <w:tcW w:type="dxa" w:w="2520"/>
            <w:vAlign w:val="center"/>
          </w:tcPr>
          <w:p>
            <w:pPr>
              <w:spacing w:after="0" w:line="240" w:lineRule="auto"/>
            </w:pPr>
            <w:r/>
            <w:r>
              <w:rPr>
                <w:rFonts w:ascii="Aptos" w:hAnsi="Aptos"/>
                <w:b w:val="0"/>
                <w:sz w:val="16"/>
              </w:rPr>
              <w:t>0.1853</w:t>
            </w:r>
          </w:p>
        </w:tc>
        <w:tc>
          <w:tcPr>
            <w:tcW w:type="dxa" w:w="2520"/>
            <w:vAlign w:val="center"/>
          </w:tcPr>
          <w:p>
            <w:pPr>
              <w:spacing w:after="0" w:line="240" w:lineRule="auto"/>
            </w:pPr>
            <w:r/>
            <w:r>
              <w:rPr>
                <w:rFonts w:ascii="Aptos" w:hAnsi="Aptos"/>
                <w:b w:val="0"/>
                <w:sz w:val="16"/>
              </w:rPr>
              <w:t>0.0000</w:t>
            </w:r>
          </w:p>
        </w:tc>
      </w:tr>
      <w:tr>
        <w:tc>
          <w:tcPr>
            <w:tcW w:type="dxa" w:w="2520"/>
            <w:vAlign w:val="center"/>
          </w:tcPr>
          <w:p>
            <w:pPr>
              <w:spacing w:after="0" w:line="240" w:lineRule="auto"/>
            </w:pPr>
            <w:r/>
            <w:r>
              <w:rPr>
                <w:rFonts w:ascii="Aptos" w:hAnsi="Aptos"/>
                <w:b w:val="0"/>
                <w:sz w:val="16"/>
              </w:rPr>
              <w:t>Exclude Mobico</w:t>
            </w:r>
          </w:p>
        </w:tc>
        <w:tc>
          <w:tcPr>
            <w:tcW w:type="dxa" w:w="2520"/>
            <w:vAlign w:val="center"/>
          </w:tcPr>
          <w:p>
            <w:pPr>
              <w:spacing w:after="0" w:line="240" w:lineRule="auto"/>
            </w:pPr>
            <w:r/>
            <w:r>
              <w:rPr>
                <w:rFonts w:ascii="Aptos" w:hAnsi="Aptos"/>
                <w:b w:val="0"/>
                <w:sz w:val="16"/>
              </w:rPr>
              <w:t>0.0226</w:t>
            </w:r>
          </w:p>
        </w:tc>
        <w:tc>
          <w:tcPr>
            <w:tcW w:type="dxa" w:w="2520"/>
            <w:vAlign w:val="center"/>
          </w:tcPr>
          <w:p>
            <w:pPr>
              <w:spacing w:after="0" w:line="240" w:lineRule="auto"/>
            </w:pPr>
            <w:r/>
            <w:r>
              <w:rPr>
                <w:rFonts w:ascii="Aptos" w:hAnsi="Aptos"/>
                <w:b w:val="0"/>
                <w:sz w:val="16"/>
              </w:rPr>
              <w:t>0.1907</w:t>
            </w:r>
          </w:p>
        </w:tc>
        <w:tc>
          <w:tcPr>
            <w:tcW w:type="dxa" w:w="2520"/>
            <w:vAlign w:val="center"/>
          </w:tcPr>
          <w:p>
            <w:pPr>
              <w:spacing w:after="0" w:line="240" w:lineRule="auto"/>
            </w:pPr>
            <w:r/>
            <w:r>
              <w:rPr>
                <w:rFonts w:ascii="Aptos" w:hAnsi="Aptos"/>
                <w:b w:val="0"/>
                <w:sz w:val="16"/>
              </w:rPr>
              <w:t>0.0000</w:t>
            </w:r>
          </w:p>
        </w:tc>
      </w:tr>
      <w:tr>
        <w:tc>
          <w:tcPr>
            <w:tcW w:type="dxa" w:w="2520"/>
            <w:vAlign w:val="center"/>
          </w:tcPr>
          <w:p>
            <w:pPr>
              <w:spacing w:after="0" w:line="240" w:lineRule="auto"/>
            </w:pPr>
            <w:r/>
            <w:r>
              <w:rPr>
                <w:rFonts w:ascii="Aptos" w:hAnsi="Aptos"/>
                <w:b w:val="0"/>
                <w:sz w:val="16"/>
              </w:rPr>
              <w:t>Exclude Mobico + Tesco</w:t>
            </w:r>
          </w:p>
        </w:tc>
        <w:tc>
          <w:tcPr>
            <w:tcW w:type="dxa" w:w="2520"/>
            <w:vAlign w:val="center"/>
          </w:tcPr>
          <w:p>
            <w:pPr>
              <w:spacing w:after="0" w:line="240" w:lineRule="auto"/>
            </w:pPr>
            <w:r/>
            <w:r>
              <w:rPr>
                <w:rFonts w:ascii="Aptos" w:hAnsi="Aptos"/>
                <w:b w:val="0"/>
                <w:sz w:val="16"/>
              </w:rPr>
              <w:t>0.0209</w:t>
            </w:r>
          </w:p>
        </w:tc>
        <w:tc>
          <w:tcPr>
            <w:tcW w:type="dxa" w:w="2520"/>
            <w:vAlign w:val="center"/>
          </w:tcPr>
          <w:p>
            <w:pPr>
              <w:spacing w:after="0" w:line="240" w:lineRule="auto"/>
            </w:pPr>
            <w:r/>
            <w:r>
              <w:rPr>
                <w:rFonts w:ascii="Aptos" w:hAnsi="Aptos"/>
                <w:b w:val="0"/>
                <w:sz w:val="16"/>
              </w:rPr>
              <w:t>0.1905</w:t>
            </w:r>
          </w:p>
        </w:tc>
        <w:tc>
          <w:tcPr>
            <w:tcW w:type="dxa" w:w="2520"/>
            <w:vAlign w:val="center"/>
          </w:tcPr>
          <w:p>
            <w:pPr>
              <w:spacing w:after="0" w:line="240" w:lineRule="auto"/>
            </w:pPr>
            <w:r/>
            <w:r>
              <w:rPr>
                <w:rFonts w:ascii="Aptos" w:hAnsi="Aptos"/>
                <w:b w:val="0"/>
                <w:sz w:val="16"/>
              </w:rPr>
              <w:t>0.0000</w:t>
            </w:r>
          </w:p>
        </w:tc>
      </w:tr>
      <w:tr>
        <w:tc>
          <w:tcPr>
            <w:tcW w:type="dxa" w:w="2520"/>
            <w:vAlign w:val="center"/>
          </w:tcPr>
          <w:p>
            <w:pPr>
              <w:spacing w:after="0" w:line="240" w:lineRule="auto"/>
            </w:pPr>
            <w:r/>
            <w:r>
              <w:rPr>
                <w:rFonts w:ascii="Aptos" w:hAnsi="Aptos"/>
                <w:b w:val="0"/>
                <w:sz w:val="16"/>
              </w:rPr>
              <w:t>Exclude Tesco</w:t>
            </w:r>
          </w:p>
        </w:tc>
        <w:tc>
          <w:tcPr>
            <w:tcW w:type="dxa" w:w="2520"/>
            <w:vAlign w:val="center"/>
          </w:tcPr>
          <w:p>
            <w:pPr>
              <w:spacing w:after="0" w:line="240" w:lineRule="auto"/>
            </w:pPr>
            <w:r/>
            <w:r>
              <w:rPr>
                <w:rFonts w:ascii="Aptos" w:hAnsi="Aptos"/>
                <w:b w:val="0"/>
                <w:sz w:val="16"/>
              </w:rPr>
              <w:t>0.0169</w:t>
            </w:r>
          </w:p>
        </w:tc>
        <w:tc>
          <w:tcPr>
            <w:tcW w:type="dxa" w:w="2520"/>
            <w:vAlign w:val="center"/>
          </w:tcPr>
          <w:p>
            <w:pPr>
              <w:spacing w:after="0" w:line="240" w:lineRule="auto"/>
            </w:pPr>
            <w:r/>
            <w:r>
              <w:rPr>
                <w:rFonts w:ascii="Aptos" w:hAnsi="Aptos"/>
                <w:b w:val="0"/>
                <w:sz w:val="16"/>
              </w:rPr>
              <w:t>0.1846</w:t>
            </w:r>
          </w:p>
        </w:tc>
        <w:tc>
          <w:tcPr>
            <w:tcW w:type="dxa" w:w="2520"/>
            <w:vAlign w:val="center"/>
          </w:tcPr>
          <w:p>
            <w:pPr>
              <w:spacing w:after="0" w:line="240" w:lineRule="auto"/>
            </w:pPr>
            <w:r/>
            <w:r>
              <w:rPr>
                <w:rFonts w:ascii="Aptos" w:hAnsi="Aptos"/>
                <w:b w:val="0"/>
                <w:sz w:val="16"/>
              </w:rPr>
              <w:t>0.0000</w:t>
            </w:r>
          </w:p>
        </w:tc>
      </w:tr>
      <w:tr>
        <w:tc>
          <w:tcPr>
            <w:tcW w:type="dxa" w:w="2520"/>
            <w:vAlign w:val="center"/>
          </w:tcPr>
          <w:p>
            <w:pPr>
              <w:spacing w:after="0" w:line="240" w:lineRule="auto"/>
            </w:pPr>
            <w:r/>
            <w:r>
              <w:rPr>
                <w:rFonts w:ascii="Aptos" w:hAnsi="Aptos"/>
                <w:b w:val="0"/>
                <w:sz w:val="16"/>
              </w:rPr>
              <w:t>F009 governance=0</w:t>
            </w:r>
          </w:p>
        </w:tc>
        <w:tc>
          <w:tcPr>
            <w:tcW w:type="dxa" w:w="2520"/>
            <w:vAlign w:val="center"/>
          </w:tcPr>
          <w:p>
            <w:pPr>
              <w:spacing w:after="0" w:line="240" w:lineRule="auto"/>
            </w:pPr>
            <w:r/>
            <w:r>
              <w:rPr>
                <w:rFonts w:ascii="Aptos" w:hAnsi="Aptos"/>
                <w:b w:val="0"/>
                <w:sz w:val="16"/>
              </w:rPr>
              <w:t>0.0421</w:t>
            </w:r>
          </w:p>
        </w:tc>
        <w:tc>
          <w:tcPr>
            <w:tcW w:type="dxa" w:w="2520"/>
            <w:vAlign w:val="center"/>
          </w:tcPr>
          <w:p>
            <w:pPr>
              <w:spacing w:after="0" w:line="240" w:lineRule="auto"/>
            </w:pPr>
            <w:r/>
            <w:r>
              <w:rPr>
                <w:rFonts w:ascii="Aptos" w:hAnsi="Aptos"/>
                <w:b w:val="0"/>
                <w:sz w:val="16"/>
              </w:rPr>
              <w:t>0.1725</w:t>
            </w:r>
          </w:p>
        </w:tc>
        <w:tc>
          <w:tcPr>
            <w:tcW w:type="dxa" w:w="2520"/>
            <w:vAlign w:val="center"/>
          </w:tcPr>
          <w:p>
            <w:pPr>
              <w:spacing w:after="0" w:line="240" w:lineRule="auto"/>
            </w:pPr>
            <w:r/>
            <w:r>
              <w:rPr>
                <w:rFonts w:ascii="Aptos" w:hAnsi="Aptos"/>
                <w:b w:val="0"/>
                <w:sz w:val="16"/>
              </w:rPr>
              <w:t>0.0004</w:t>
            </w:r>
          </w:p>
        </w:tc>
      </w:tr>
      <w:tr>
        <w:tc>
          <w:tcPr>
            <w:tcW w:type="dxa" w:w="2520"/>
            <w:vAlign w:val="center"/>
          </w:tcPr>
          <w:p>
            <w:pPr>
              <w:spacing w:after="0" w:line="240" w:lineRule="auto"/>
            </w:pPr>
            <w:r/>
            <w:r>
              <w:rPr>
                <w:rFonts w:ascii="Aptos" w:hAnsi="Aptos"/>
                <w:b w:val="0"/>
                <w:sz w:val="16"/>
              </w:rPr>
              <w:t>Latest-only HC3</w:t>
            </w:r>
          </w:p>
        </w:tc>
        <w:tc>
          <w:tcPr>
            <w:tcW w:type="dxa" w:w="2520"/>
            <w:vAlign w:val="center"/>
          </w:tcPr>
          <w:p>
            <w:pPr>
              <w:spacing w:after="0" w:line="240" w:lineRule="auto"/>
            </w:pPr>
            <w:r/>
            <w:r>
              <w:rPr>
                <w:rFonts w:ascii="Aptos" w:hAnsi="Aptos"/>
                <w:b w:val="0"/>
                <w:sz w:val="16"/>
              </w:rPr>
              <w:t>0.0765</w:t>
            </w:r>
          </w:p>
        </w:tc>
        <w:tc>
          <w:tcPr>
            <w:tcW w:type="dxa" w:w="2520"/>
            <w:vAlign w:val="center"/>
          </w:tcPr>
          <w:p>
            <w:pPr>
              <w:spacing w:after="0" w:line="240" w:lineRule="auto"/>
            </w:pPr>
            <w:r/>
            <w:r>
              <w:rPr>
                <w:rFonts w:ascii="Aptos" w:hAnsi="Aptos"/>
                <w:b w:val="0"/>
                <w:sz w:val="16"/>
              </w:rPr>
              <w:t>0.7507</w:t>
            </w:r>
          </w:p>
        </w:tc>
        <w:tc>
          <w:tcPr>
            <w:tcW w:type="dxa" w:w="2520"/>
            <w:vAlign w:val="center"/>
          </w:tcPr>
          <w:p>
            <w:pPr>
              <w:spacing w:after="0" w:line="240" w:lineRule="auto"/>
            </w:pPr>
            <w:r/>
            <w:r>
              <w:rPr>
                <w:rFonts w:ascii="Aptos" w:hAnsi="Aptos"/>
                <w:b w:val="0"/>
                <w:sz w:val="16"/>
              </w:rPr>
              <w:t>0.0016</w:t>
            </w:r>
          </w:p>
        </w:tc>
      </w:tr>
    </w:tbl>
    <w:p>
      <w:r>
        <w:t>H3 is the most stable result: board oversight remains statistically significant in every specification, including a conservative recode that sets the borderline F009 governance indicator from 1 to 0. H2 remains non-significant throughout. H1 remains significant in the pooled/exclusion/recode specifications, but in the latest-cycle-only HC3 model its p-value rises to approximately 0.077; therefore H1 should be described as supported in the primary design but less stable under the reduced 40-observation cross-section.</w:t>
      </w:r>
    </w:p>
    <w:p>
      <w:r>
        <w:t>The original influence sensitivity that removes six high-Cook’s-D observations also preserves H1 and H3 and leaves H2 non-significant.</w:t>
      </w:r>
    </w:p>
    <w:p>
      <w:pPr>
        <w:pStyle w:val="Heading1"/>
        <w:keepNext/>
        <w:keepLines/>
      </w:pPr>
      <w:r>
        <w:t>12. RQ3 – Within-Firm Change Across Reporting Cycles</w:t>
      </w:r>
    </w:p>
    <w:p>
      <w:r>
        <w:t>Change is defined as Latest (T) minus Prior (T1). Across the 40 firms, mean change is -0.003 points and median change is 0.0. Twelve firms improve, 20 are unchanged, and eight deteriorate. The paired differences are non-normal, so the Wilcoxon signed-rank test is used as the primary test: W=101.5, p=0.8959. The paired t-test is also null (p=0.9988), and the exact sign test excluding ties is p=0.5034.</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2F75B5"/>
          </w:tcPr>
          <w:p>
            <w:pPr>
              <w:spacing w:after="0" w:line="240" w:lineRule="auto"/>
            </w:pPr>
            <w:r/>
            <w:r>
              <w:rPr>
                <w:rFonts w:ascii="Aptos" w:hAnsi="Aptos"/>
                <w:b/>
                <w:color w:val="FFFFFF"/>
                <w:sz w:val="16"/>
              </w:rPr>
              <w:t>Specification</w:t>
            </w:r>
          </w:p>
        </w:tc>
        <w:tc>
          <w:tcPr>
            <w:tcW w:type="dxa" w:w="1680"/>
            <w:vAlign w:val="center"/>
            <w:shd w:fill="2F75B5"/>
          </w:tcPr>
          <w:p>
            <w:pPr>
              <w:spacing w:after="0" w:line="240" w:lineRule="auto"/>
            </w:pPr>
            <w:r/>
            <w:r>
              <w:rPr>
                <w:rFonts w:ascii="Aptos" w:hAnsi="Aptos"/>
                <w:b/>
                <w:color w:val="FFFFFF"/>
                <w:sz w:val="16"/>
              </w:rPr>
              <w:t>n pairs</w:t>
            </w:r>
          </w:p>
        </w:tc>
        <w:tc>
          <w:tcPr>
            <w:tcW w:type="dxa" w:w="1680"/>
            <w:vAlign w:val="center"/>
            <w:shd w:fill="2F75B5"/>
          </w:tcPr>
          <w:p>
            <w:pPr>
              <w:spacing w:after="0" w:line="240" w:lineRule="auto"/>
            </w:pPr>
            <w:r/>
            <w:r>
              <w:rPr>
                <w:rFonts w:ascii="Aptos" w:hAnsi="Aptos"/>
                <w:b/>
                <w:color w:val="FFFFFF"/>
                <w:sz w:val="16"/>
              </w:rPr>
              <w:t>Mean change</w:t>
            </w:r>
          </w:p>
        </w:tc>
        <w:tc>
          <w:tcPr>
            <w:tcW w:type="dxa" w:w="1680"/>
            <w:vAlign w:val="center"/>
            <w:shd w:fill="2F75B5"/>
          </w:tcPr>
          <w:p>
            <w:pPr>
              <w:spacing w:after="0" w:line="240" w:lineRule="auto"/>
            </w:pPr>
            <w:r/>
            <w:r>
              <w:rPr>
                <w:rFonts w:ascii="Aptos" w:hAnsi="Aptos"/>
                <w:b/>
                <w:color w:val="FFFFFF"/>
                <w:sz w:val="16"/>
              </w:rPr>
              <w:t>Median change</w:t>
            </w:r>
          </w:p>
        </w:tc>
        <w:tc>
          <w:tcPr>
            <w:tcW w:type="dxa" w:w="1680"/>
            <w:vAlign w:val="center"/>
            <w:shd w:fill="2F75B5"/>
          </w:tcPr>
          <w:p>
            <w:pPr>
              <w:spacing w:after="0" w:line="240" w:lineRule="auto"/>
            </w:pPr>
            <w:r/>
            <w:r>
              <w:rPr>
                <w:rFonts w:ascii="Aptos" w:hAnsi="Aptos"/>
                <w:b/>
                <w:color w:val="FFFFFF"/>
                <w:sz w:val="16"/>
              </w:rPr>
              <w:t>Wilcoxon p</w:t>
            </w:r>
          </w:p>
        </w:tc>
        <w:tc>
          <w:tcPr>
            <w:tcW w:type="dxa" w:w="1680"/>
            <w:vAlign w:val="center"/>
            <w:shd w:fill="2F75B5"/>
          </w:tcPr>
          <w:p>
            <w:pPr>
              <w:spacing w:after="0" w:line="240" w:lineRule="auto"/>
            </w:pPr>
            <w:r/>
            <w:r>
              <w:rPr>
                <w:rFonts w:ascii="Aptos" w:hAnsi="Aptos"/>
                <w:b/>
                <w:color w:val="FFFFFF"/>
                <w:sz w:val="16"/>
              </w:rPr>
              <w:t>Paired t p</w:t>
            </w:r>
          </w:p>
        </w:tc>
      </w:tr>
      <w:tr>
        <w:tc>
          <w:tcPr>
            <w:tcW w:type="dxa" w:w="1680"/>
            <w:vAlign w:val="center"/>
          </w:tcPr>
          <w:p>
            <w:pPr>
              <w:spacing w:after="0" w:line="240" w:lineRule="auto"/>
            </w:pPr>
            <w:r/>
            <w:r>
              <w:rPr>
                <w:rFonts w:ascii="Aptos" w:hAnsi="Aptos"/>
                <w:b w:val="0"/>
                <w:sz w:val="16"/>
              </w:rPr>
              <w:t>Full sample</w:t>
            </w:r>
          </w:p>
        </w:tc>
        <w:tc>
          <w:tcPr>
            <w:tcW w:type="dxa" w:w="1680"/>
            <w:vAlign w:val="center"/>
          </w:tcPr>
          <w:p>
            <w:pPr>
              <w:spacing w:after="0" w:line="240" w:lineRule="auto"/>
            </w:pPr>
            <w:r/>
            <w:r>
              <w:rPr>
                <w:rFonts w:ascii="Aptos" w:hAnsi="Aptos"/>
                <w:b w:val="0"/>
                <w:sz w:val="16"/>
              </w:rPr>
              <w:t>40</w:t>
            </w:r>
          </w:p>
        </w:tc>
        <w:tc>
          <w:tcPr>
            <w:tcW w:type="dxa" w:w="1680"/>
            <w:vAlign w:val="center"/>
          </w:tcPr>
          <w:p>
            <w:pPr>
              <w:spacing w:after="0" w:line="240" w:lineRule="auto"/>
            </w:pPr>
            <w:r/>
            <w:r>
              <w:rPr>
                <w:rFonts w:ascii="Aptos" w:hAnsi="Aptos"/>
                <w:b w:val="0"/>
                <w:sz w:val="16"/>
              </w:rPr>
              <w:t>-0.003</w:t>
            </w:r>
          </w:p>
        </w:tc>
        <w:tc>
          <w:tcPr>
            <w:tcW w:type="dxa" w:w="1680"/>
            <w:vAlign w:val="center"/>
          </w:tcPr>
          <w:p>
            <w:pPr>
              <w:spacing w:after="0" w:line="240" w:lineRule="auto"/>
            </w:pPr>
            <w:r/>
            <w:r>
              <w:rPr>
                <w:rFonts w:ascii="Aptos" w:hAnsi="Aptos"/>
                <w:b w:val="0"/>
                <w:sz w:val="16"/>
              </w:rPr>
              <w:t>0.00</w:t>
            </w:r>
          </w:p>
        </w:tc>
        <w:tc>
          <w:tcPr>
            <w:tcW w:type="dxa" w:w="1680"/>
            <w:vAlign w:val="center"/>
          </w:tcPr>
          <w:p>
            <w:pPr>
              <w:spacing w:after="0" w:line="240" w:lineRule="auto"/>
            </w:pPr>
            <w:r/>
            <w:r>
              <w:rPr>
                <w:rFonts w:ascii="Aptos" w:hAnsi="Aptos"/>
                <w:b w:val="0"/>
                <w:sz w:val="16"/>
              </w:rPr>
              <w:t>0.8959</w:t>
            </w:r>
          </w:p>
        </w:tc>
        <w:tc>
          <w:tcPr>
            <w:tcW w:type="dxa" w:w="1680"/>
            <w:vAlign w:val="center"/>
          </w:tcPr>
          <w:p>
            <w:pPr>
              <w:spacing w:after="0" w:line="240" w:lineRule="auto"/>
            </w:pPr>
            <w:r/>
            <w:r>
              <w:rPr>
                <w:rFonts w:ascii="Aptos" w:hAnsi="Aptos"/>
                <w:b w:val="0"/>
                <w:sz w:val="16"/>
              </w:rPr>
              <w:t>0.9988</w:t>
            </w:r>
          </w:p>
        </w:tc>
      </w:tr>
      <w:tr>
        <w:tc>
          <w:tcPr>
            <w:tcW w:type="dxa" w:w="1680"/>
            <w:vAlign w:val="center"/>
          </w:tcPr>
          <w:p>
            <w:pPr>
              <w:spacing w:after="0" w:line="240" w:lineRule="auto"/>
            </w:pPr>
            <w:r/>
            <w:r>
              <w:rPr>
                <w:rFonts w:ascii="Aptos" w:hAnsi="Aptos"/>
                <w:b w:val="0"/>
                <w:sz w:val="16"/>
              </w:rPr>
              <w:t>Exclude Mobico F019</w:t>
            </w:r>
          </w:p>
        </w:tc>
        <w:tc>
          <w:tcPr>
            <w:tcW w:type="dxa" w:w="1680"/>
            <w:vAlign w:val="center"/>
          </w:tcPr>
          <w:p>
            <w:pPr>
              <w:spacing w:after="0" w:line="240" w:lineRule="auto"/>
            </w:pPr>
            <w:r/>
            <w:r>
              <w:rPr>
                <w:rFonts w:ascii="Aptos" w:hAnsi="Aptos"/>
                <w:b w:val="0"/>
                <w:sz w:val="16"/>
              </w:rPr>
              <w:t>39</w:t>
            </w:r>
          </w:p>
        </w:tc>
        <w:tc>
          <w:tcPr>
            <w:tcW w:type="dxa" w:w="1680"/>
            <w:vAlign w:val="center"/>
          </w:tcPr>
          <w:p>
            <w:pPr>
              <w:spacing w:after="0" w:line="240" w:lineRule="auto"/>
            </w:pPr>
            <w:r/>
            <w:r>
              <w:rPr>
                <w:rFonts w:ascii="Aptos" w:hAnsi="Aptos"/>
                <w:b w:val="0"/>
                <w:sz w:val="16"/>
              </w:rPr>
              <w:t>0.426</w:t>
            </w:r>
          </w:p>
        </w:tc>
        <w:tc>
          <w:tcPr>
            <w:tcW w:type="dxa" w:w="1680"/>
            <w:vAlign w:val="center"/>
          </w:tcPr>
          <w:p>
            <w:pPr>
              <w:spacing w:after="0" w:line="240" w:lineRule="auto"/>
            </w:pPr>
            <w:r/>
            <w:r>
              <w:rPr>
                <w:rFonts w:ascii="Aptos" w:hAnsi="Aptos"/>
                <w:b w:val="0"/>
                <w:sz w:val="16"/>
              </w:rPr>
              <w:t>0.00</w:t>
            </w:r>
          </w:p>
        </w:tc>
        <w:tc>
          <w:tcPr>
            <w:tcW w:type="dxa" w:w="1680"/>
            <w:vAlign w:val="center"/>
          </w:tcPr>
          <w:p>
            <w:pPr>
              <w:spacing w:after="0" w:line="240" w:lineRule="auto"/>
            </w:pPr>
            <w:r/>
            <w:r>
              <w:rPr>
                <w:rFonts w:ascii="Aptos" w:hAnsi="Aptos"/>
                <w:b w:val="0"/>
                <w:sz w:val="16"/>
              </w:rPr>
              <w:t>0.6145</w:t>
            </w:r>
          </w:p>
        </w:tc>
        <w:tc>
          <w:tcPr>
            <w:tcW w:type="dxa" w:w="1680"/>
            <w:vAlign w:val="center"/>
          </w:tcPr>
          <w:p>
            <w:pPr>
              <w:spacing w:after="0" w:line="240" w:lineRule="auto"/>
            </w:pPr>
            <w:r/>
            <w:r>
              <w:rPr>
                <w:rFonts w:ascii="Aptos" w:hAnsi="Aptos"/>
                <w:b w:val="0"/>
                <w:sz w:val="16"/>
              </w:rPr>
              <w:t>0.7930</w:t>
            </w:r>
          </w:p>
        </w:tc>
      </w:tr>
      <w:tr>
        <w:tc>
          <w:tcPr>
            <w:tcW w:type="dxa" w:w="1680"/>
            <w:vAlign w:val="center"/>
          </w:tcPr>
          <w:p>
            <w:pPr>
              <w:spacing w:after="0" w:line="240" w:lineRule="auto"/>
            </w:pPr>
            <w:r/>
            <w:r>
              <w:rPr>
                <w:rFonts w:ascii="Aptos" w:hAnsi="Aptos"/>
                <w:b w:val="0"/>
                <w:sz w:val="16"/>
              </w:rPr>
              <w:t>Exclude Tesco F032</w:t>
            </w:r>
          </w:p>
        </w:tc>
        <w:tc>
          <w:tcPr>
            <w:tcW w:type="dxa" w:w="1680"/>
            <w:vAlign w:val="center"/>
          </w:tcPr>
          <w:p>
            <w:pPr>
              <w:spacing w:after="0" w:line="240" w:lineRule="auto"/>
            </w:pPr>
            <w:r/>
            <w:r>
              <w:rPr>
                <w:rFonts w:ascii="Aptos" w:hAnsi="Aptos"/>
                <w:b w:val="0"/>
                <w:sz w:val="16"/>
              </w:rPr>
              <w:t>39</w:t>
            </w:r>
          </w:p>
        </w:tc>
        <w:tc>
          <w:tcPr>
            <w:tcW w:type="dxa" w:w="1680"/>
            <w:vAlign w:val="center"/>
          </w:tcPr>
          <w:p>
            <w:pPr>
              <w:spacing w:after="0" w:line="240" w:lineRule="auto"/>
            </w:pPr>
            <w:r/>
            <w:r>
              <w:rPr>
                <w:rFonts w:ascii="Aptos" w:hAnsi="Aptos"/>
                <w:b w:val="0"/>
                <w:sz w:val="16"/>
              </w:rPr>
              <w:t>0.213</w:t>
            </w:r>
          </w:p>
        </w:tc>
        <w:tc>
          <w:tcPr>
            <w:tcW w:type="dxa" w:w="1680"/>
            <w:vAlign w:val="center"/>
          </w:tcPr>
          <w:p>
            <w:pPr>
              <w:spacing w:after="0" w:line="240" w:lineRule="auto"/>
            </w:pPr>
            <w:r/>
            <w:r>
              <w:rPr>
                <w:rFonts w:ascii="Aptos" w:hAnsi="Aptos"/>
                <w:b w:val="0"/>
                <w:sz w:val="16"/>
              </w:rPr>
              <w:t>0.00</w:t>
            </w:r>
          </w:p>
        </w:tc>
        <w:tc>
          <w:tcPr>
            <w:tcW w:type="dxa" w:w="1680"/>
            <w:vAlign w:val="center"/>
          </w:tcPr>
          <w:p>
            <w:pPr>
              <w:spacing w:after="0" w:line="240" w:lineRule="auto"/>
            </w:pPr>
            <w:r/>
            <w:r>
              <w:rPr>
                <w:rFonts w:ascii="Aptos" w:hAnsi="Aptos"/>
                <w:b w:val="0"/>
                <w:sz w:val="16"/>
              </w:rPr>
              <w:t>0.7779</w:t>
            </w:r>
          </w:p>
        </w:tc>
        <w:tc>
          <w:tcPr>
            <w:tcW w:type="dxa" w:w="1680"/>
            <w:vAlign w:val="center"/>
          </w:tcPr>
          <w:p>
            <w:pPr>
              <w:spacing w:after="0" w:line="240" w:lineRule="auto"/>
            </w:pPr>
            <w:r/>
            <w:r>
              <w:rPr>
                <w:rFonts w:ascii="Aptos" w:hAnsi="Aptos"/>
                <w:b w:val="0"/>
                <w:sz w:val="16"/>
              </w:rPr>
              <w:t>0.8983</w:t>
            </w:r>
          </w:p>
        </w:tc>
      </w:tr>
      <w:tr>
        <w:tc>
          <w:tcPr>
            <w:tcW w:type="dxa" w:w="1680"/>
            <w:vAlign w:val="center"/>
          </w:tcPr>
          <w:p>
            <w:pPr>
              <w:spacing w:after="0" w:line="240" w:lineRule="auto"/>
            </w:pPr>
            <w:r/>
            <w:r>
              <w:rPr>
                <w:rFonts w:ascii="Aptos" w:hAnsi="Aptos"/>
                <w:b w:val="0"/>
                <w:sz w:val="16"/>
              </w:rPr>
              <w:t>Exclude Mobico + Tesco</w:t>
            </w:r>
          </w:p>
        </w:tc>
        <w:tc>
          <w:tcPr>
            <w:tcW w:type="dxa" w:w="1680"/>
            <w:vAlign w:val="center"/>
          </w:tcPr>
          <w:p>
            <w:pPr>
              <w:spacing w:after="0" w:line="240" w:lineRule="auto"/>
            </w:pPr>
            <w:r/>
            <w:r>
              <w:rPr>
                <w:rFonts w:ascii="Aptos" w:hAnsi="Aptos"/>
                <w:b w:val="0"/>
                <w:sz w:val="16"/>
              </w:rPr>
              <w:t>38</w:t>
            </w:r>
          </w:p>
        </w:tc>
        <w:tc>
          <w:tcPr>
            <w:tcW w:type="dxa" w:w="1680"/>
            <w:vAlign w:val="center"/>
          </w:tcPr>
          <w:p>
            <w:pPr>
              <w:spacing w:after="0" w:line="240" w:lineRule="auto"/>
            </w:pPr>
            <w:r/>
            <w:r>
              <w:rPr>
                <w:rFonts w:ascii="Aptos" w:hAnsi="Aptos"/>
                <w:b w:val="0"/>
                <w:sz w:val="16"/>
              </w:rPr>
              <w:t>0.658</w:t>
            </w:r>
          </w:p>
        </w:tc>
        <w:tc>
          <w:tcPr>
            <w:tcW w:type="dxa" w:w="1680"/>
            <w:vAlign w:val="center"/>
          </w:tcPr>
          <w:p>
            <w:pPr>
              <w:spacing w:after="0" w:line="240" w:lineRule="auto"/>
            </w:pPr>
            <w:r/>
            <w:r>
              <w:rPr>
                <w:rFonts w:ascii="Aptos" w:hAnsi="Aptos"/>
                <w:b w:val="0"/>
                <w:sz w:val="16"/>
              </w:rPr>
              <w:t>0.00</w:t>
            </w:r>
          </w:p>
        </w:tc>
        <w:tc>
          <w:tcPr>
            <w:tcW w:type="dxa" w:w="1680"/>
            <w:vAlign w:val="center"/>
          </w:tcPr>
          <w:p>
            <w:pPr>
              <w:spacing w:after="0" w:line="240" w:lineRule="auto"/>
            </w:pPr>
            <w:r/>
            <w:r>
              <w:rPr>
                <w:rFonts w:ascii="Aptos" w:hAnsi="Aptos"/>
                <w:b w:val="0"/>
                <w:sz w:val="16"/>
              </w:rPr>
              <w:t>0.4991</w:t>
            </w:r>
          </w:p>
        </w:tc>
        <w:tc>
          <w:tcPr>
            <w:tcW w:type="dxa" w:w="1680"/>
            <w:vAlign w:val="center"/>
          </w:tcPr>
          <w:p>
            <w:pPr>
              <w:spacing w:after="0" w:line="240" w:lineRule="auto"/>
            </w:pPr>
            <w:r/>
            <w:r>
              <w:rPr>
                <w:rFonts w:ascii="Aptos" w:hAnsi="Aptos"/>
                <w:b w:val="0"/>
                <w:sz w:val="16"/>
              </w:rPr>
              <w:t>0.6899</w:t>
            </w:r>
          </w:p>
        </w:tc>
      </w:tr>
    </w:tbl>
    <w:p>
      <w:r>
        <w:t>The null conclusion remains after excluding Mobico (15-month latest period), Tesco (53-week latest period), or both.</w:t>
      </w:r>
    </w:p>
    <w:p>
      <w:pPr>
        <w:jc w:val="center"/>
      </w:pPr>
      <w:r>
        <w:drawing>
          <wp:inline xmlns:a="http://schemas.openxmlformats.org/drawingml/2006/main" xmlns:pic="http://schemas.openxmlformats.org/drawingml/2006/picture">
            <wp:extent cx="5029200" cy="4595648"/>
            <wp:docPr id="5" name="Picture 5"/>
            <wp:cNvGraphicFramePr>
              <a:graphicFrameLocks noChangeAspect="1"/>
            </wp:cNvGraphicFramePr>
            <a:graphic>
              <a:graphicData uri="http://schemas.openxmlformats.org/drawingml/2006/picture">
                <pic:pic>
                  <pic:nvPicPr>
                    <pic:cNvPr id="0" name="03_paired_prior_latest.png"/>
                    <pic:cNvPicPr/>
                  </pic:nvPicPr>
                  <pic:blipFill>
                    <a:blip r:embed="rId13"/>
                    <a:stretch>
                      <a:fillRect/>
                    </a:stretch>
                  </pic:blipFill>
                  <pic:spPr>
                    <a:xfrm>
                      <a:off x="0" y="0"/>
                      <a:ext cx="5029200" cy="4595648"/>
                    </a:xfrm>
                    <a:prstGeom prst="rect"/>
                  </pic:spPr>
                </pic:pic>
              </a:graphicData>
            </a:graphic>
          </wp:inline>
        </w:drawing>
      </w:r>
    </w:p>
    <w:p>
      <w:pPr>
        <w:spacing w:after="120"/>
        <w:jc w:val="center"/>
      </w:pPr>
      <w:r>
        <w:rPr>
          <w:i/>
          <w:sz w:val="17"/>
        </w:rPr>
        <w:t>Figure 5. Prior vs latest CFCQI for each firm.</w:t>
      </w:r>
    </w:p>
    <w:p>
      <w:r>
        <w:t>Item-level movements are small and predominantly unchanged. Current financial performance, position and cash-flow items each improve by approximately 0.075 points on average; asset valuations/impairment declines by 0.10 points. These movements do not amount to a systematic overall shift in CFCQI.</w:t>
      </w:r>
    </w:p>
    <w:p>
      <w:pPr>
        <w:jc w:val="center"/>
      </w:pPr>
      <w:r>
        <w:drawing>
          <wp:inline xmlns:a="http://schemas.openxmlformats.org/drawingml/2006/main" xmlns:pic="http://schemas.openxmlformats.org/drawingml/2006/picture">
            <wp:extent cx="5852160" cy="4389120"/>
            <wp:docPr id="6" name="Picture 6"/>
            <wp:cNvGraphicFramePr>
              <a:graphicFrameLocks noChangeAspect="1"/>
            </wp:cNvGraphicFramePr>
            <a:graphic>
              <a:graphicData uri="http://schemas.openxmlformats.org/drawingml/2006/picture">
                <pic:pic>
                  <pic:nvPicPr>
                    <pic:cNvPr id="0" name="05_item_change.png"/>
                    <pic:cNvPicPr/>
                  </pic:nvPicPr>
                  <pic:blipFill>
                    <a:blip r:embed="rId14"/>
                    <a:stretch>
                      <a:fillRect/>
                    </a:stretch>
                  </pic:blipFill>
                  <pic:spPr>
                    <a:xfrm>
                      <a:off x="0" y="0"/>
                      <a:ext cx="5852160" cy="4389120"/>
                    </a:xfrm>
                    <a:prstGeom prst="rect"/>
                  </pic:spPr>
                </pic:pic>
              </a:graphicData>
            </a:graphic>
          </wp:inline>
        </w:drawing>
      </w:r>
    </w:p>
    <w:p>
      <w:pPr>
        <w:spacing w:after="120"/>
        <w:jc w:val="center"/>
      </w:pPr>
      <w:r>
        <w:rPr>
          <w:i/>
          <w:sz w:val="17"/>
        </w:rPr>
        <w:t>Figure 6. Mean item-level change (Latest − Prior).</w:t>
      </w:r>
    </w:p>
    <w:p>
      <w:pPr>
        <w:pStyle w:val="Heading1"/>
        <w:keepNext/>
        <w:keepLines/>
      </w:pPr>
      <w:r>
        <w:t>13. Special Cases and Sensitivity Flags</w:t>
      </w:r>
    </w:p>
    <w:p>
      <w:pPr>
        <w:pStyle w:val="ListBullet"/>
        <w:spacing w:after="40"/>
      </w:pPr>
      <w:r>
        <w:t>Mobico F019 T covers 15 months to 31 March 2026. Figures were used as reported, not annualised; RQ2/RQ3 exclusion tests do not alter conclusions.</w:t>
      </w:r>
    </w:p>
    <w:p>
      <w:pPr>
        <w:pStyle w:val="ListBullet"/>
        <w:spacing w:after="40"/>
      </w:pPr>
      <w:r>
        <w:t>Tesco F032 T is a 53-week reporting period. Exclusion from RQ2 and RQ3 does not alter headline conclusions.</w:t>
      </w:r>
    </w:p>
    <w:p>
      <w:pPr>
        <w:pStyle w:val="ListBullet"/>
        <w:spacing w:after="40"/>
      </w:pPr>
      <w:r>
        <w:t>Mondi’s “Integrated report and financial statements” is the company’s complete annual statutory report and was retained.</w:t>
      </w:r>
    </w:p>
    <w:p>
      <w:pPr>
        <w:pStyle w:val="ListBullet"/>
        <w:spacing w:after="40"/>
      </w:pPr>
      <w:r>
        <w:t>Smiths Group T uses FY2025 because FY2026 annual report was not published at the sampling freeze.</w:t>
      </w:r>
    </w:p>
    <w:p>
      <w:pPr>
        <w:pStyle w:val="ListBullet"/>
        <w:spacing w:after="40"/>
      </w:pPr>
      <w:r>
        <w:t>Spirax Group is the renamed Spirax-Sarco Engineering group; the listed entity/ticker continuity was retained.</w:t>
      </w:r>
    </w:p>
    <w:p>
      <w:pPr>
        <w:pStyle w:val="ListBullet"/>
        <w:spacing w:after="40"/>
      </w:pPr>
      <w:r>
        <w:t>M&amp;S partial first-pass files were invalidated and fully re-coded from complete reports; the corrected rows materially increased M&amp;S CFCQI but did not reverse headline study conclusions.</w:t>
      </w:r>
    </w:p>
    <w:p>
      <w:pPr>
        <w:pStyle w:val="Heading1"/>
        <w:keepNext/>
        <w:keepLines/>
      </w:pPr>
      <w:r>
        <w:t>14. Reproducibility</w:t>
      </w:r>
    </w:p>
    <w:p>
      <w:r>
        <w:t>The technical package contains source registers, the frozen codebook, coding/evidence files, final datasets, analysis scripts, results tables and figures. The final locked dataset can be reproduced from the master coding file using the supplied Python scripts. The principal execution sequence is:</w:t>
      </w:r>
    </w:p>
    <w:p>
      <w:pPr>
        <w:pStyle w:val="ListBullet"/>
        <w:spacing w:after="40"/>
      </w:pPr>
      <w:r>
        <w:t>01_validate_and_compute.py – validate 0–2 coding and compute CFCQI.</w:t>
      </w:r>
    </w:p>
    <w:p>
      <w:pPr>
        <w:pStyle w:val="ListBullet"/>
        <w:spacing w:after="40"/>
      </w:pPr>
      <w:r>
        <w:t>02_descriptives.py – produce RQ1 descriptive tables/figures.</w:t>
      </w:r>
    </w:p>
    <w:p>
      <w:pPr>
        <w:pStyle w:val="ListBullet"/>
        <w:spacing w:after="40"/>
      </w:pPr>
      <w:r>
        <w:t>03_reliability.py – compute exact agreement and weighted Cohen’s kappa.</w:t>
      </w:r>
    </w:p>
    <w:p>
      <w:pPr>
        <w:pStyle w:val="ListBullet"/>
        <w:spacing w:after="40"/>
      </w:pPr>
      <w:r>
        <w:t>04_regression_rq2.py – fit pooled OLS with firm-clustered robust SEs.</w:t>
      </w:r>
    </w:p>
    <w:p>
      <w:pPr>
        <w:pStyle w:val="ListBullet"/>
        <w:spacing w:after="40"/>
      </w:pPr>
      <w:r>
        <w:t>05_paired_rq3.py – corrected Latest−Prior paired analysis and item-level change outputs.</w:t>
      </w:r>
    </w:p>
    <w:p>
      <w:pPr>
        <w:pStyle w:val="ListBullet"/>
        <w:spacing w:after="40"/>
      </w:pPr>
      <w:r>
        <w:t>06_robustness.py – VIF, residual/influence diagnostics and core sensitivities.</w:t>
      </w:r>
    </w:p>
    <w:p>
      <w:pPr>
        <w:pStyle w:val="ListBullet"/>
        <w:spacing w:after="40"/>
      </w:pPr>
      <w:r>
        <w:t>07_final_audit_and_extended.py – final 960-row evidence audit, locked datasets, extended RQ2 sensitivity and reliability diagnostics.</w:t>
      </w:r>
    </w:p>
    <w:p>
      <w:pPr>
        <w:pStyle w:val="Heading1"/>
        <w:keepNext/>
        <w:keepLines/>
      </w:pPr>
      <w:r>
        <w:t>15. Final Technical Conclusions</w:t>
      </w:r>
    </w:p>
    <w:p>
      <w:r>
        <w:t>The technical implementation is complete, internally consistent and reproducible after final QA corrections. The strongest empirical finding is the positive association between qualifying board-level sustainability/climate oversight and CFCQI. Firm size is positively associated in the primary pooled model but is less stable when the sample is reduced to the latest cycle only. External assurance is not statistically associated with CFCQI in this sample. There is no evidence of a systematic within-firm increase or decrease in CFCQI across the two reporting cycles.</w:t>
      </w:r>
    </w:p>
    <w:p>
      <w:r>
        <w:t>The principal methodological limitations to carry into the dissertation are: the distinction between the 31 August report-availability cut-off and 7 October sampling-frame freeze; uneven item-level coding reliability despite acceptable pooled κ; the small two-cycle panel; non-random sample construction based on climate sensitivity and market capitalisation; and residual judgement in several borderline content-analysis decisions.</w:t>
      </w:r>
    </w:p>
    <w:p>
      <w:pPr>
        <w:pStyle w:val="Heading1"/>
        <w:keepNext/>
        <w:keepLines/>
      </w:pPr>
      <w:r>
        <w:t>16. Output Register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75B5"/>
          </w:tcPr>
          <w:p>
            <w:pPr>
              <w:spacing w:after="0" w:line="240" w:lineRule="auto"/>
            </w:pPr>
            <w:r/>
            <w:r>
              <w:rPr>
                <w:rFonts w:ascii="Aptos" w:hAnsi="Aptos"/>
                <w:b/>
                <w:color w:val="FFFFFF"/>
                <w:sz w:val="16"/>
              </w:rPr>
              <w:t>Output</w:t>
            </w:r>
          </w:p>
        </w:tc>
        <w:tc>
          <w:tcPr>
            <w:tcW w:type="dxa" w:w="5040"/>
            <w:vAlign w:val="center"/>
            <w:shd w:fill="2F75B5"/>
          </w:tcPr>
          <w:p>
            <w:pPr>
              <w:spacing w:after="0" w:line="240" w:lineRule="auto"/>
            </w:pPr>
            <w:r/>
            <w:r>
              <w:rPr>
                <w:rFonts w:ascii="Aptos" w:hAnsi="Aptos"/>
                <w:b/>
                <w:color w:val="FFFFFF"/>
                <w:sz w:val="16"/>
              </w:rPr>
              <w:t>Purpose</w:t>
            </w:r>
          </w:p>
        </w:tc>
      </w:tr>
      <w:tr>
        <w:tc>
          <w:tcPr>
            <w:tcW w:type="dxa" w:w="5040"/>
            <w:vAlign w:val="center"/>
          </w:tcPr>
          <w:p>
            <w:pPr>
              <w:spacing w:after="0" w:line="240" w:lineRule="auto"/>
            </w:pPr>
            <w:r/>
            <w:r>
              <w:rPr>
                <w:rFonts w:ascii="Aptos" w:hAnsi="Aptos"/>
                <w:b w:val="0"/>
                <w:sz w:val="16"/>
              </w:rPr>
              <w:t>VASU_FINAL_TECHNICAL_RESULTS.xlsx</w:t>
            </w:r>
          </w:p>
        </w:tc>
        <w:tc>
          <w:tcPr>
            <w:tcW w:type="dxa" w:w="5040"/>
            <w:vAlign w:val="center"/>
          </w:tcPr>
          <w:p>
            <w:pPr>
              <w:spacing w:after="0" w:line="240" w:lineRule="auto"/>
            </w:pPr>
            <w:r/>
            <w:r>
              <w:rPr>
                <w:rFonts w:ascii="Aptos" w:hAnsi="Aptos"/>
                <w:b w:val="0"/>
                <w:sz w:val="16"/>
              </w:rPr>
              <w:t>Consolidated professional Excel workbook containing sample, source register, codebook, evidence, data, validation and all results.</w:t>
            </w:r>
          </w:p>
        </w:tc>
      </w:tr>
      <w:tr>
        <w:tc>
          <w:tcPr>
            <w:tcW w:type="dxa" w:w="5040"/>
            <w:vAlign w:val="center"/>
          </w:tcPr>
          <w:p>
            <w:pPr>
              <w:spacing w:after="0" w:line="240" w:lineRule="auto"/>
            </w:pPr>
            <w:r/>
            <w:r>
              <w:rPr>
                <w:rFonts w:ascii="Aptos" w:hAnsi="Aptos"/>
                <w:b w:val="0"/>
                <w:sz w:val="16"/>
              </w:rPr>
              <w:t>VASU_POWERBI_DATA.xlsx</w:t>
            </w:r>
          </w:p>
        </w:tc>
        <w:tc>
          <w:tcPr>
            <w:tcW w:type="dxa" w:w="5040"/>
            <w:vAlign w:val="center"/>
          </w:tcPr>
          <w:p>
            <w:pPr>
              <w:spacing w:after="0" w:line="240" w:lineRule="auto"/>
            </w:pPr>
            <w:r/>
            <w:r>
              <w:rPr>
                <w:rFonts w:ascii="Aptos" w:hAnsi="Aptos"/>
                <w:b w:val="0"/>
                <w:sz w:val="16"/>
              </w:rPr>
              <w:t>Power BI-ready firm-year and item-long tables.</w:t>
            </w:r>
          </w:p>
        </w:tc>
      </w:tr>
      <w:tr>
        <w:tc>
          <w:tcPr>
            <w:tcW w:type="dxa" w:w="5040"/>
            <w:vAlign w:val="center"/>
          </w:tcPr>
          <w:p>
            <w:pPr>
              <w:spacing w:after="0" w:line="240" w:lineRule="auto"/>
            </w:pPr>
            <w:r/>
            <w:r>
              <w:rPr>
                <w:rFonts w:ascii="Aptos" w:hAnsi="Aptos"/>
                <w:b w:val="0"/>
                <w:sz w:val="16"/>
              </w:rPr>
              <w:t>VASU_ANALYSIS_DATASET_LOCKED.csv</w:t>
            </w:r>
          </w:p>
        </w:tc>
        <w:tc>
          <w:tcPr>
            <w:tcW w:type="dxa" w:w="5040"/>
            <w:vAlign w:val="center"/>
          </w:tcPr>
          <w:p>
            <w:pPr>
              <w:spacing w:after="0" w:line="240" w:lineRule="auto"/>
            </w:pPr>
            <w:r/>
            <w:r>
              <w:rPr>
                <w:rFonts w:ascii="Aptos" w:hAnsi="Aptos"/>
                <w:b w:val="0"/>
                <w:sz w:val="16"/>
              </w:rPr>
              <w:t>Locked 80-row statistical dataset.</w:t>
            </w:r>
          </w:p>
        </w:tc>
      </w:tr>
      <w:tr>
        <w:tc>
          <w:tcPr>
            <w:tcW w:type="dxa" w:w="5040"/>
            <w:vAlign w:val="center"/>
          </w:tcPr>
          <w:p>
            <w:pPr>
              <w:spacing w:after="0" w:line="240" w:lineRule="auto"/>
            </w:pPr>
            <w:r/>
            <w:r>
              <w:rPr>
                <w:rFonts w:ascii="Aptos" w:hAnsi="Aptos"/>
                <w:b w:val="0"/>
                <w:sz w:val="16"/>
              </w:rPr>
              <w:t>CFCQI_EVIDENCE_AUDIT.csv</w:t>
            </w:r>
          </w:p>
        </w:tc>
        <w:tc>
          <w:tcPr>
            <w:tcW w:type="dxa" w:w="5040"/>
            <w:vAlign w:val="center"/>
          </w:tcPr>
          <w:p>
            <w:pPr>
              <w:spacing w:after="0" w:line="240" w:lineRule="auto"/>
            </w:pPr>
            <w:r/>
            <w:r>
              <w:rPr>
                <w:rFonts w:ascii="Aptos" w:hAnsi="Aptos"/>
                <w:b w:val="0"/>
                <w:sz w:val="16"/>
              </w:rPr>
              <w:t>960-row item-level evidence audit.</w:t>
            </w:r>
          </w:p>
        </w:tc>
      </w:tr>
      <w:tr>
        <w:tc>
          <w:tcPr>
            <w:tcW w:type="dxa" w:w="5040"/>
            <w:vAlign w:val="center"/>
          </w:tcPr>
          <w:p>
            <w:pPr>
              <w:spacing w:after="0" w:line="240" w:lineRule="auto"/>
            </w:pPr>
            <w:r/>
            <w:r>
              <w:rPr>
                <w:rFonts w:ascii="Aptos" w:hAnsi="Aptos"/>
                <w:b w:val="0"/>
                <w:sz w:val="16"/>
              </w:rPr>
              <w:t>CFCQI_FINAL_80.csv</w:t>
            </w:r>
          </w:p>
        </w:tc>
        <w:tc>
          <w:tcPr>
            <w:tcW w:type="dxa" w:w="5040"/>
            <w:vAlign w:val="center"/>
          </w:tcPr>
          <w:p>
            <w:pPr>
              <w:spacing w:after="0" w:line="240" w:lineRule="auto"/>
            </w:pPr>
            <w:r/>
            <w:r>
              <w:rPr>
                <w:rFonts w:ascii="Aptos" w:hAnsi="Aptos"/>
                <w:b w:val="0"/>
                <w:sz w:val="16"/>
              </w:rPr>
              <w:t>Final scored 80-row CFCQI dataset.</w:t>
            </w:r>
          </w:p>
        </w:tc>
      </w:tr>
      <w:tr>
        <w:tc>
          <w:tcPr>
            <w:tcW w:type="dxa" w:w="5040"/>
            <w:vAlign w:val="center"/>
          </w:tcPr>
          <w:p>
            <w:pPr>
              <w:spacing w:after="0" w:line="240" w:lineRule="auto"/>
            </w:pPr>
            <w:r/>
            <w:r>
              <w:rPr>
                <w:rFonts w:ascii="Aptos" w:hAnsi="Aptos"/>
                <w:b w:val="0"/>
                <w:sz w:val="16"/>
              </w:rPr>
              <w:t>FIRM_VARIABLES_FINAL_80.csv</w:t>
            </w:r>
          </w:p>
        </w:tc>
        <w:tc>
          <w:tcPr>
            <w:tcW w:type="dxa" w:w="5040"/>
            <w:vAlign w:val="center"/>
          </w:tcPr>
          <w:p>
            <w:pPr>
              <w:spacing w:after="0" w:line="240" w:lineRule="auto"/>
            </w:pPr>
            <w:r/>
            <w:r>
              <w:rPr>
                <w:rFonts w:ascii="Aptos" w:hAnsi="Aptos"/>
                <w:b w:val="0"/>
                <w:sz w:val="16"/>
              </w:rPr>
              <w:t>Final firm-variable dataset.</w:t>
            </w:r>
          </w:p>
        </w:tc>
      </w:tr>
      <w:tr>
        <w:tc>
          <w:tcPr>
            <w:tcW w:type="dxa" w:w="5040"/>
            <w:vAlign w:val="center"/>
          </w:tcPr>
          <w:p>
            <w:pPr>
              <w:spacing w:after="0" w:line="240" w:lineRule="auto"/>
            </w:pPr>
            <w:r/>
            <w:r>
              <w:rPr>
                <w:rFonts w:ascii="Aptos" w:hAnsi="Aptos"/>
                <w:b w:val="0"/>
                <w:sz w:val="16"/>
              </w:rPr>
              <w:t>RQ2_EXTENDED_ROBUSTNESS.csv</w:t>
            </w:r>
          </w:p>
        </w:tc>
        <w:tc>
          <w:tcPr>
            <w:tcW w:type="dxa" w:w="5040"/>
            <w:vAlign w:val="center"/>
          </w:tcPr>
          <w:p>
            <w:pPr>
              <w:spacing w:after="0" w:line="240" w:lineRule="auto"/>
            </w:pPr>
            <w:r/>
            <w:r>
              <w:rPr>
                <w:rFonts w:ascii="Aptos" w:hAnsi="Aptos"/>
                <w:b w:val="0"/>
                <w:sz w:val="16"/>
              </w:rPr>
              <w:t>Expanded robustness specifications.</w:t>
            </w:r>
          </w:p>
        </w:tc>
      </w:tr>
      <w:tr>
        <w:tc>
          <w:tcPr>
            <w:tcW w:type="dxa" w:w="5040"/>
            <w:vAlign w:val="center"/>
          </w:tcPr>
          <w:p>
            <w:pPr>
              <w:spacing w:after="0" w:line="240" w:lineRule="auto"/>
            </w:pPr>
            <w:r/>
            <w:r>
              <w:rPr>
                <w:rFonts w:ascii="Aptos" w:hAnsi="Aptos"/>
                <w:b w:val="0"/>
                <w:sz w:val="16"/>
              </w:rPr>
              <w:t>RQ3_SENSITIVITY.csv</w:t>
            </w:r>
          </w:p>
        </w:tc>
        <w:tc>
          <w:tcPr>
            <w:tcW w:type="dxa" w:w="5040"/>
            <w:vAlign w:val="center"/>
          </w:tcPr>
          <w:p>
            <w:pPr>
              <w:spacing w:after="0" w:line="240" w:lineRule="auto"/>
            </w:pPr>
            <w:r/>
            <w:r>
              <w:rPr>
                <w:rFonts w:ascii="Aptos" w:hAnsi="Aptos"/>
                <w:b w:val="0"/>
                <w:sz w:val="16"/>
              </w:rPr>
              <w:t>Corrected paired-cycle sensitivity results.</w:t>
            </w:r>
          </w:p>
        </w:tc>
      </w:tr>
      <w:tr>
        <w:tc>
          <w:tcPr>
            <w:tcW w:type="dxa" w:w="5040"/>
            <w:vAlign w:val="center"/>
          </w:tcPr>
          <w:p>
            <w:pPr>
              <w:spacing w:after="0" w:line="240" w:lineRule="auto"/>
            </w:pPr>
            <w:r/>
            <w:r>
              <w:rPr>
                <w:rFonts w:ascii="Aptos" w:hAnsi="Aptos"/>
                <w:b w:val="0"/>
                <w:sz w:val="16"/>
              </w:rPr>
              <w:t>RQ3_ITEM_CHANGES.csv</w:t>
            </w:r>
          </w:p>
        </w:tc>
        <w:tc>
          <w:tcPr>
            <w:tcW w:type="dxa" w:w="5040"/>
            <w:vAlign w:val="center"/>
          </w:tcPr>
          <w:p>
            <w:pPr>
              <w:spacing w:after="0" w:line="240" w:lineRule="auto"/>
            </w:pPr>
            <w:r/>
            <w:r>
              <w:rPr>
                <w:rFonts w:ascii="Aptos" w:hAnsi="Aptos"/>
                <w:b w:val="0"/>
                <w:sz w:val="16"/>
              </w:rPr>
              <w:t>Corrected item-level Latest−Prior changes.</w:t>
            </w:r>
          </w:p>
        </w:tc>
      </w:tr>
      <w:tr>
        <w:tc>
          <w:tcPr>
            <w:tcW w:type="dxa" w:w="5040"/>
            <w:vAlign w:val="center"/>
          </w:tcPr>
          <w:p>
            <w:pPr>
              <w:spacing w:after="0" w:line="240" w:lineRule="auto"/>
            </w:pPr>
            <w:r/>
            <w:r>
              <w:rPr>
                <w:rFonts w:ascii="Aptos" w:hAnsi="Aptos"/>
                <w:b w:val="0"/>
                <w:sz w:val="16"/>
              </w:rPr>
              <w:t>Vasu_Technical_Implementation_Report.docx</w:t>
            </w:r>
          </w:p>
        </w:tc>
        <w:tc>
          <w:tcPr>
            <w:tcW w:type="dxa" w:w="5040"/>
            <w:vAlign w:val="center"/>
          </w:tcPr>
          <w:p>
            <w:pPr>
              <w:spacing w:after="0" w:line="240" w:lineRule="auto"/>
            </w:pPr>
            <w:r/>
            <w:r>
              <w:rPr>
                <w:rFonts w:ascii="Aptos" w:hAnsi="Aptos"/>
                <w:b w:val="0"/>
                <w:sz w:val="16"/>
              </w:rPr>
              <w:t>This technical research record.</w:t>
            </w:r>
          </w:p>
        </w:tc>
      </w:tr>
    </w:tbl>
    <w:sectPr>
      <w:headerReference w:type="default" r:id="rId15"/>
      <w:footerReference w:type="default" r:id="rId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6"/>
      </w:rPr>
      <w:t>CFCQI FTSE 350 climate-disclosure study | Final audited technical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7F7F7F"/>
        <w:sz w:val="16"/>
      </w:rPr>
      <w:t>Vasu Deva Rao Madireddy | 16814044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