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21EAF">
      <w:pPr>
        <w:jc w:val="center"/>
      </w:pPr>
      <w:r>
        <w:rPr>
          <w:b/>
          <w:color w:val="000000"/>
          <w:sz w:val="48"/>
        </w:rPr>
        <w:t>STAGE 1 — RESEARCH BRIEF</w:t>
      </w:r>
    </w:p>
    <w:p w14:paraId="18B7772C">
      <w:pPr>
        <w:jc w:val="center"/>
      </w:pPr>
      <w:r>
        <w:rPr>
          <w:b/>
          <w:color w:val="000000"/>
          <w:sz w:val="34"/>
        </w:rPr>
        <w:t>Teaching a Machine Learning System</w:t>
      </w:r>
      <w:r>
        <w:rPr>
          <w:b/>
          <w:color w:val="000000"/>
          <w:sz w:val="34"/>
        </w:rPr>
        <w:br w:type="textWrapping"/>
      </w:r>
      <w:r>
        <w:rPr>
          <w:b/>
          <w:color w:val="000000"/>
          <w:sz w:val="34"/>
        </w:rPr>
        <w:t>When Not to Trust Its Own Prediction</w:t>
      </w:r>
    </w:p>
    <w:p w14:paraId="4A21E092">
      <w:pPr>
        <w:jc w:val="center"/>
      </w:pPr>
      <w:r>
        <w:rPr>
          <w:color w:val="000000"/>
          <w:sz w:val="22"/>
        </w:rPr>
        <w:t>Problem ID: ML-T2-016</w:t>
      </w:r>
    </w:p>
    <w:p w14:paraId="20958D81">
      <w:pPr>
        <w:jc w:val="center"/>
      </w:pPr>
      <w:r>
        <w:rPr>
          <w:color w:val="000000"/>
          <w:sz w:val="22"/>
        </w:rPr>
        <w:t>Track 2 · Advanced Machine Learning Internship</w:t>
      </w:r>
    </w:p>
    <w:p w14:paraId="01C73FE4">
      <w:pPr>
        <w:jc w:val="center"/>
      </w:pPr>
      <w:r>
        <w:rPr>
          <w:color w:val="000000"/>
          <w:sz w:val="22"/>
        </w:rPr>
        <w:t>Project 01 · Stage 1: Problem Understanding &amp; Initial Research</w:t>
      </w:r>
    </w:p>
    <w:p w14:paraId="4BFC4D32">
      <w:pPr>
        <w:jc w:val="center"/>
      </w:pPr>
      <w:r>
        <w:rPr>
          <w:color w:val="000000"/>
          <w:sz w:val="22"/>
        </w:rPr>
        <w:t>Domain: ML Reliability · Uncertainty Estimation</w:t>
      </w:r>
    </w:p>
    <w:p w14:paraId="4A274E18"/>
    <w:p w14:paraId="2CB84E84">
      <w:pPr>
        <w:jc w:val="center"/>
        <w:rPr>
          <w:rFonts w:hint="default"/>
          <w:lang w:val="en-US"/>
        </w:rPr>
      </w:pPr>
      <w:r>
        <w:rPr>
          <w:color w:val="000000"/>
          <w:sz w:val="22"/>
        </w:rPr>
        <w:t xml:space="preserve">Prepared by: </w:t>
      </w:r>
      <w:r>
        <w:rPr>
          <w:rFonts w:hint="default"/>
          <w:color w:val="000000"/>
          <w:sz w:val="22"/>
          <w:lang w:val="en-US"/>
        </w:rPr>
        <w:t>Palvasha Madireddy</w:t>
      </w:r>
    </w:p>
    <w:p w14:paraId="34F4D15F">
      <w:r>
        <w:rPr>
          <w:color w:val="000000"/>
        </w:rPr>
        <w:br w:type="page"/>
      </w:r>
    </w:p>
    <w:p w14:paraId="7CA308C4">
      <w:pPr>
        <w:pStyle w:val="2"/>
      </w:pPr>
      <w:r>
        <w:rPr>
          <w:color w:val="000000"/>
        </w:rPr>
        <w:t>1. Problem Understanding</w:t>
      </w:r>
    </w:p>
    <w:p w14:paraId="1D3001CF">
      <w:r>
        <w:rPr>
          <w:color w:val="000000"/>
        </w:rPr>
        <w:t>Machine learning models are usually evaluated by checking how accurately they predict data that is similar to the data used during training. The situation can be different after deployment. A model may receive inputs that are noisy, changed, or from a different distribution, and it can still give a prediction with high confidence even when the prediction is wrong.</w:t>
      </w:r>
    </w:p>
    <w:p w14:paraId="24BA8D4D">
      <w:r>
        <w:rPr>
          <w:color w:val="000000"/>
        </w:rPr>
        <w:t>This makes confidence an important part of model reliability. The main issue we are studying is not only whether a model can make a correct prediction, but whether it can give some indication when its prediction may not be reliable.</w:t>
      </w:r>
    </w:p>
    <w:p w14:paraId="57C49838">
      <w:r>
        <w:rPr>
          <w:color w:val="000000"/>
        </w:rPr>
        <w:t>For this project, we want to investigate calibration, uncertainty estimation, distribution shift and selective prediction. The central question is:</w:t>
      </w:r>
    </w:p>
    <w:p w14:paraId="3FCB622E">
      <w:pPr>
        <w:jc w:val="center"/>
      </w:pPr>
      <w:r>
        <w:rPr>
          <w:b/>
          <w:color w:val="000000"/>
        </w:rPr>
        <w:t>“Can an ML system recognize when it should not trust its own prediction?”</w:t>
      </w:r>
    </w:p>
    <w:p w14:paraId="51EF8655">
      <w:pPr>
        <w:pStyle w:val="2"/>
      </w:pPr>
      <w:r>
        <w:rPr>
          <w:color w:val="000000"/>
        </w:rPr>
        <w:t>2. Problem Formulation</w:t>
      </w:r>
    </w:p>
    <w:p w14:paraId="54E9E169">
      <w:r>
        <w:rPr>
          <w:color w:val="000000"/>
        </w:rPr>
        <w:t>We are currently treating the problem as a classification task with an additional uncertainty or reliability component. The model should produce a class prediction and a score that can be used to judge how much the prediction should be trusted.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34E3937F">
        <w:trPr>
          <w:jc w:val="center"/>
        </w:trPr>
        <w:tc>
          <w:tcPr>
            <w:tcW w:w="4896" w:type="dxa"/>
            <w:vAlign w:val="center"/>
          </w:tcPr>
          <w:p w14:paraId="5FD277E1">
            <w:pPr>
              <w:spacing w:line="240" w:lineRule="auto"/>
            </w:pPr>
            <w:r>
              <w:rPr>
                <w:b/>
                <w:color w:val="000000"/>
              </w:rPr>
              <w:t>Element</w:t>
            </w:r>
          </w:p>
        </w:tc>
        <w:tc>
          <w:tcPr>
            <w:tcW w:w="4896" w:type="dxa"/>
            <w:vAlign w:val="center"/>
          </w:tcPr>
          <w:p w14:paraId="15DDCCB8">
            <w:pPr>
              <w:spacing w:line="240" w:lineRule="auto"/>
            </w:pPr>
            <w:r>
              <w:rPr>
                <w:b/>
                <w:color w:val="000000"/>
              </w:rPr>
              <w:t>Current definition</w:t>
            </w:r>
          </w:p>
        </w:tc>
      </w:tr>
      <w:tr w14:paraId="26B71CAD">
        <w:trPr>
          <w:jc w:val="center"/>
        </w:trPr>
        <w:tc>
          <w:tcPr>
            <w:tcW w:w="4896" w:type="dxa"/>
            <w:vAlign w:val="center"/>
          </w:tcPr>
          <w:p w14:paraId="038974EC">
            <w:pPr>
              <w:spacing w:line="240" w:lineRule="auto"/>
            </w:pPr>
            <w:r>
              <w:rPr>
                <w:color w:val="000000"/>
              </w:rPr>
              <w:t>Problem statement</w:t>
            </w:r>
          </w:p>
        </w:tc>
        <w:tc>
          <w:tcPr>
            <w:tcW w:w="4896" w:type="dxa"/>
            <w:vAlign w:val="center"/>
          </w:tcPr>
          <w:p w14:paraId="2A893A1D">
            <w:pPr>
              <w:spacing w:line="240" w:lineRule="auto"/>
            </w:pPr>
            <w:r>
              <w:rPr>
                <w:color w:val="000000"/>
              </w:rPr>
              <w:t>Build a system that produces a prediction together with a reliability/uncertainty signal.</w:t>
            </w:r>
          </w:p>
        </w:tc>
      </w:tr>
      <w:tr w14:paraId="34D328C0">
        <w:trPr>
          <w:jc w:val="center"/>
        </w:trPr>
        <w:tc>
          <w:tcPr>
            <w:tcW w:w="4896" w:type="dxa"/>
            <w:vAlign w:val="center"/>
          </w:tcPr>
          <w:p w14:paraId="4A94195A">
            <w:pPr>
              <w:spacing w:line="240" w:lineRule="auto"/>
            </w:pPr>
            <w:r>
              <w:rPr>
                <w:color w:val="000000"/>
              </w:rPr>
              <w:t>ML task</w:t>
            </w:r>
          </w:p>
        </w:tc>
        <w:tc>
          <w:tcPr>
            <w:tcW w:w="4896" w:type="dxa"/>
            <w:vAlign w:val="center"/>
          </w:tcPr>
          <w:p w14:paraId="3707E4DE">
            <w:pPr>
              <w:spacing w:line="240" w:lineRule="auto"/>
            </w:pPr>
            <w:r>
              <w:rPr>
                <w:color w:val="000000"/>
              </w:rPr>
              <w:t>Image classification + uncertainty estimation / selective prediction</w:t>
            </w:r>
          </w:p>
        </w:tc>
      </w:tr>
      <w:tr w14:paraId="75909687">
        <w:trPr>
          <w:jc w:val="center"/>
        </w:trPr>
        <w:tc>
          <w:tcPr>
            <w:tcW w:w="4896" w:type="dxa"/>
            <w:vAlign w:val="center"/>
          </w:tcPr>
          <w:p w14:paraId="34A05D53">
            <w:pPr>
              <w:spacing w:line="240" w:lineRule="auto"/>
            </w:pPr>
            <w:r>
              <w:rPr>
                <w:color w:val="000000"/>
              </w:rPr>
              <w:t>Input</w:t>
            </w:r>
          </w:p>
        </w:tc>
        <w:tc>
          <w:tcPr>
            <w:tcW w:w="4896" w:type="dxa"/>
            <w:vAlign w:val="center"/>
          </w:tcPr>
          <w:p w14:paraId="24C530BB">
            <w:pPr>
              <w:spacing w:line="240" w:lineRule="auto"/>
            </w:pPr>
            <w:r>
              <w:rPr>
                <w:color w:val="000000"/>
              </w:rPr>
              <w:t>An image from the selected dataset; shifted inputs will be used during evaluation.</w:t>
            </w:r>
          </w:p>
        </w:tc>
      </w:tr>
      <w:tr w14:paraId="3F01C41A">
        <w:trPr>
          <w:jc w:val="center"/>
        </w:trPr>
        <w:tc>
          <w:tcPr>
            <w:tcW w:w="4896" w:type="dxa"/>
            <w:vAlign w:val="center"/>
          </w:tcPr>
          <w:p w14:paraId="4363158A">
            <w:pPr>
              <w:spacing w:line="240" w:lineRule="auto"/>
            </w:pPr>
            <w:r>
              <w:rPr>
                <w:color w:val="000000"/>
              </w:rPr>
              <w:t>Output</w:t>
            </w:r>
          </w:p>
        </w:tc>
        <w:tc>
          <w:tcPr>
            <w:tcW w:w="4896" w:type="dxa"/>
            <w:vAlign w:val="center"/>
          </w:tcPr>
          <w:p w14:paraId="7026FB2C">
            <w:pPr>
              <w:spacing w:line="240" w:lineRule="auto"/>
            </w:pPr>
            <w:r>
              <w:rPr>
                <w:color w:val="000000"/>
              </w:rPr>
              <w:t>Predicted class, confidence/uncertainty score, and a possible trust/abstain decision.</w:t>
            </w:r>
          </w:p>
        </w:tc>
      </w:tr>
      <w:tr w14:paraId="63BA9471">
        <w:trPr>
          <w:jc w:val="center"/>
        </w:trPr>
        <w:tc>
          <w:tcPr>
            <w:tcW w:w="4896" w:type="dxa"/>
            <w:vAlign w:val="center"/>
          </w:tcPr>
          <w:p w14:paraId="2261C796">
            <w:pPr>
              <w:spacing w:line="240" w:lineRule="auto"/>
            </w:pPr>
            <w:r>
              <w:rPr>
                <w:color w:val="000000"/>
              </w:rPr>
              <w:t>Prediction unit</w:t>
            </w:r>
          </w:p>
        </w:tc>
        <w:tc>
          <w:tcPr>
            <w:tcW w:w="4896" w:type="dxa"/>
            <w:vAlign w:val="center"/>
          </w:tcPr>
          <w:p w14:paraId="48AC27DA">
            <w:pPr>
              <w:spacing w:line="240" w:lineRule="auto"/>
            </w:pPr>
            <w:r>
              <w:rPr>
                <w:color w:val="000000"/>
              </w:rPr>
              <w:t>One image and its associated prediction/reliability score.</w:t>
            </w:r>
          </w:p>
        </w:tc>
      </w:tr>
      <w:tr w14:paraId="7009076E">
        <w:trPr>
          <w:jc w:val="center"/>
        </w:trPr>
        <w:tc>
          <w:tcPr>
            <w:tcW w:w="4896" w:type="dxa"/>
            <w:vAlign w:val="center"/>
          </w:tcPr>
          <w:p w14:paraId="5A184380">
            <w:pPr>
              <w:spacing w:line="240" w:lineRule="auto"/>
            </w:pPr>
            <w:r>
              <w:rPr>
                <w:color w:val="000000"/>
              </w:rPr>
              <w:t>Assumptions</w:t>
            </w:r>
          </w:p>
        </w:tc>
        <w:tc>
          <w:tcPr>
            <w:tcW w:w="4896" w:type="dxa"/>
            <w:vAlign w:val="center"/>
          </w:tcPr>
          <w:p w14:paraId="3D0CCB4D">
            <w:pPr>
              <w:spacing w:line="240" w:lineRule="auto"/>
            </w:pPr>
            <w:r>
              <w:rPr>
                <w:color w:val="000000"/>
              </w:rPr>
              <w:t>Training data represents normal conditions; controlled shifts can be introduced; labels are available for evaluation.</w:t>
            </w:r>
          </w:p>
        </w:tc>
      </w:tr>
      <w:tr w14:paraId="172DE310">
        <w:trPr>
          <w:jc w:val="center"/>
        </w:trPr>
        <w:tc>
          <w:tcPr>
            <w:tcW w:w="4896" w:type="dxa"/>
            <w:vAlign w:val="center"/>
          </w:tcPr>
          <w:p w14:paraId="7CB1ACA9">
            <w:pPr>
              <w:spacing w:line="240" w:lineRule="auto"/>
            </w:pPr>
            <w:r>
              <w:rPr>
                <w:color w:val="000000"/>
              </w:rPr>
              <w:t>Constraints</w:t>
            </w:r>
          </w:p>
        </w:tc>
        <w:tc>
          <w:tcPr>
            <w:tcW w:w="4896" w:type="dxa"/>
            <w:vAlign w:val="center"/>
          </w:tcPr>
          <w:p w14:paraId="74B73B3D">
            <w:pPr>
              <w:spacing w:line="240" w:lineRule="auto"/>
            </w:pPr>
            <w:r>
              <w:rPr>
                <w:color w:val="000000"/>
              </w:rPr>
              <w:t>Zero-cost tools, public/legally usable data, laptop-friendly experiments and a 2–3 week project scope.</w:t>
            </w:r>
          </w:p>
        </w:tc>
      </w:tr>
      <w:tr w14:paraId="1694E098">
        <w:trPr>
          <w:jc w:val="center"/>
        </w:trPr>
        <w:tc>
          <w:tcPr>
            <w:tcW w:w="4896" w:type="dxa"/>
            <w:vAlign w:val="center"/>
          </w:tcPr>
          <w:p w14:paraId="1B51AE4F">
            <w:pPr>
              <w:spacing w:line="240" w:lineRule="auto"/>
            </w:pPr>
            <w:r>
              <w:rPr>
                <w:color w:val="000000"/>
              </w:rPr>
              <w:t>Success criteria</w:t>
            </w:r>
          </w:p>
        </w:tc>
        <w:tc>
          <w:tcPr>
            <w:tcW w:w="4896" w:type="dxa"/>
            <w:vAlign w:val="center"/>
          </w:tcPr>
          <w:p w14:paraId="3F99A78A">
            <w:pPr>
              <w:spacing w:line="240" w:lineRule="auto"/>
            </w:pPr>
            <w:r>
              <w:rPr>
                <w:color w:val="000000"/>
              </w:rPr>
              <w:t>Reliability scores should relate to actual errors, and selective prediction should reduce risk among accepted predictions.</w:t>
            </w:r>
          </w:p>
        </w:tc>
      </w:tr>
    </w:tbl>
    <w:p w14:paraId="23442CE9">
      <w:pPr>
        <w:pStyle w:val="2"/>
      </w:pPr>
      <w:bookmarkStart w:id="0" w:name="_GoBack"/>
      <w:bookmarkEnd w:id="0"/>
      <w:r>
        <w:rPr>
          <w:color w:val="000000"/>
        </w:rPr>
        <w:t>3. Use Case</w:t>
      </w:r>
    </w:p>
    <w:p w14:paraId="55F25415">
      <w:r>
        <w:rPr>
          <w:color w:val="000000"/>
        </w:rPr>
        <w:t>A simple use case is a safety-aware image classification system. In a normal classifier, the output might be a class together with a very high confidence value. The problem is that the confidence value may not be reliable when the input is different from the training data.</w:t>
      </w:r>
    </w:p>
    <w:p w14:paraId="6CFFD678">
      <w:r>
        <w:rPr>
          <w:color w:val="000000"/>
        </w:rPr>
        <w:t>A reliability-aware system could instead flag a prediction for review when its uncertainty is high. This can be useful in situations where a wrong automated decision is more costly than asking for human review.</w:t>
      </w:r>
    </w:p>
    <w:p w14:paraId="1EB5022D">
      <w:r>
        <w:rPr>
          <w:color w:val="000000"/>
        </w:rPr>
        <w:t>Possible real-world examples include content moderation, fraud detection, medical screening and support-ticket classification. These are examples of where the idea could be useful; the project itself will use a controlled image dataset rather than claiming to solve one of these applications directly.</w:t>
      </w:r>
    </w:p>
    <w:p w14:paraId="33053EF0">
      <w:pPr>
        <w:pStyle w:val="2"/>
      </w:pPr>
      <w:r>
        <w:rPr>
          <w:color w:val="000000"/>
        </w:rPr>
        <w:t>4. Initial Data Strategy</w:t>
      </w:r>
    </w:p>
    <w:p w14:paraId="1096DE60">
      <w:pPr>
        <w:pStyle w:val="3"/>
      </w:pPr>
      <w:r>
        <w:rPr>
          <w:color w:val="000000"/>
        </w:rPr>
        <w:t>4.1 Primary dataset: CIFAR-10</w:t>
      </w:r>
    </w:p>
    <w:p w14:paraId="466F4DF2">
      <w:r>
        <w:rPr>
          <w:color w:val="000000"/>
        </w:rPr>
        <w:t>Our current primary dataset choice is CIFAR-10. It provides a standard image-classification problem with ten classes and a size that is practical for experimentation on limited hardware. The dataset contains 60,000 colour images, including 50,000 training images and 10,000 test images.</w:t>
      </w:r>
    </w:p>
    <w:p w14:paraId="0E200220">
      <w:r>
        <w:rPr>
          <w:color w:val="000000"/>
        </w:rPr>
        <w:t>The development data will be separated into training and validation/calibration portions as needed. The final test data will remain separate so that it is not used for tuning the model, calibration temperature or abstention thresholds.</w:t>
      </w:r>
    </w:p>
    <w:p w14:paraId="384D4A88">
      <w:pPr>
        <w:pStyle w:val="3"/>
      </w:pPr>
      <w:r>
        <w:rPr>
          <w:color w:val="000000"/>
        </w:rPr>
        <w:t>4.2 Controlled distribution shift: CIFAR-10-C</w:t>
      </w:r>
    </w:p>
    <w:p w14:paraId="0F11AC24">
      <w:r>
        <w:rPr>
          <w:color w:val="000000"/>
        </w:rPr>
        <w:t>To test whether reliability changes when the input distribution changes, we plan to investigate CIFAR-10-C. It contains corrupted versions of CIFAR-10 images with different severity levels, which provides a controlled way to test model behaviour under common image corruptions.</w:t>
      </w:r>
    </w:p>
    <w:p w14:paraId="68584641">
      <w:r>
        <w:rPr>
          <w:color w:val="000000"/>
        </w:rPr>
        <w:t>We will use CIFAR-10-C mainly as a controlled distribution-shift/robustness benchmark rather than automatically describing every corruption as conventional out-of-distribution data. A separate conventional OOD dataset may be considered later if it adds value to the study.</w:t>
      </w:r>
    </w:p>
    <w:p w14:paraId="172DA700">
      <w:r>
        <w:rPr>
          <w:color w:val="000000"/>
        </w:rPr>
        <w:t>Because the complete corruption benchmark is relatively large, the first experiments will likely use a smaller selection of corruption types and severity levels.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4F678E3">
        <w:trPr>
          <w:jc w:val="center"/>
        </w:trPr>
        <w:tc>
          <w:tcPr>
            <w:tcW w:w="4896" w:type="dxa"/>
            <w:vAlign w:val="center"/>
          </w:tcPr>
          <w:p w14:paraId="6A4E5992">
            <w:pPr>
              <w:spacing w:line="240" w:lineRule="auto"/>
            </w:pPr>
            <w:r>
              <w:rPr>
                <w:b/>
                <w:color w:val="000000"/>
              </w:rPr>
              <w:t>Data question</w:t>
            </w:r>
          </w:p>
        </w:tc>
        <w:tc>
          <w:tcPr>
            <w:tcW w:w="4896" w:type="dxa"/>
            <w:vAlign w:val="center"/>
          </w:tcPr>
          <w:p w14:paraId="559F27F6">
            <w:pPr>
              <w:spacing w:line="240" w:lineRule="auto"/>
            </w:pPr>
            <w:r>
              <w:rPr>
                <w:b/>
                <w:color w:val="000000"/>
              </w:rPr>
              <w:t>Initial plan</w:t>
            </w:r>
          </w:p>
        </w:tc>
      </w:tr>
      <w:tr w14:paraId="0E244D65">
        <w:trPr>
          <w:jc w:val="center"/>
        </w:trPr>
        <w:tc>
          <w:tcPr>
            <w:tcW w:w="4896" w:type="dxa"/>
            <w:vAlign w:val="center"/>
          </w:tcPr>
          <w:p w14:paraId="2C09A752">
            <w:pPr>
              <w:spacing w:line="240" w:lineRule="auto"/>
            </w:pPr>
            <w:r>
              <w:rPr>
                <w:color w:val="000000"/>
              </w:rPr>
              <w:t>Source</w:t>
            </w:r>
          </w:p>
        </w:tc>
        <w:tc>
          <w:tcPr>
            <w:tcW w:w="4896" w:type="dxa"/>
            <w:vAlign w:val="center"/>
          </w:tcPr>
          <w:p w14:paraId="21FE1126">
            <w:pPr>
              <w:spacing w:line="240" w:lineRule="auto"/>
            </w:pPr>
            <w:r>
              <w:rPr>
                <w:color w:val="000000"/>
              </w:rPr>
              <w:t>CIFAR-10 and CIFAR-10-C</w:t>
            </w:r>
          </w:p>
        </w:tc>
      </w:tr>
      <w:tr w14:paraId="27E7376E">
        <w:trPr>
          <w:jc w:val="center"/>
        </w:trPr>
        <w:tc>
          <w:tcPr>
            <w:tcW w:w="4896" w:type="dxa"/>
            <w:vAlign w:val="center"/>
          </w:tcPr>
          <w:p w14:paraId="728E2B3B">
            <w:pPr>
              <w:spacing w:line="240" w:lineRule="auto"/>
            </w:pPr>
            <w:r>
              <w:rPr>
                <w:color w:val="000000"/>
              </w:rPr>
              <w:t>Prediction unit</w:t>
            </w:r>
          </w:p>
        </w:tc>
        <w:tc>
          <w:tcPr>
            <w:tcW w:w="4896" w:type="dxa"/>
            <w:vAlign w:val="center"/>
          </w:tcPr>
          <w:p w14:paraId="33558A4E">
            <w:pPr>
              <w:spacing w:line="240" w:lineRule="auto"/>
            </w:pPr>
            <w:r>
              <w:rPr>
                <w:color w:val="000000"/>
              </w:rPr>
              <w:t>One image</w:t>
            </w:r>
          </w:p>
        </w:tc>
      </w:tr>
      <w:tr w14:paraId="6716D193">
        <w:trPr>
          <w:jc w:val="center"/>
        </w:trPr>
        <w:tc>
          <w:tcPr>
            <w:tcW w:w="4896" w:type="dxa"/>
            <w:vAlign w:val="center"/>
          </w:tcPr>
          <w:p w14:paraId="37792F47">
            <w:pPr>
              <w:spacing w:line="240" w:lineRule="auto"/>
            </w:pPr>
            <w:r>
              <w:rPr>
                <w:color w:val="000000"/>
              </w:rPr>
              <w:t>Features</w:t>
            </w:r>
          </w:p>
        </w:tc>
        <w:tc>
          <w:tcPr>
            <w:tcW w:w="4896" w:type="dxa"/>
            <w:vAlign w:val="center"/>
          </w:tcPr>
          <w:p w14:paraId="30E45114">
            <w:pPr>
              <w:spacing w:line="240" w:lineRule="auto"/>
            </w:pPr>
            <w:r>
              <w:rPr>
                <w:color w:val="000000"/>
              </w:rPr>
              <w:t>Image pixel values</w:t>
            </w:r>
          </w:p>
        </w:tc>
      </w:tr>
      <w:tr w14:paraId="3EB8AFDB">
        <w:trPr>
          <w:jc w:val="center"/>
        </w:trPr>
        <w:tc>
          <w:tcPr>
            <w:tcW w:w="4896" w:type="dxa"/>
            <w:vAlign w:val="center"/>
          </w:tcPr>
          <w:p w14:paraId="164E3484">
            <w:pPr>
              <w:spacing w:line="240" w:lineRule="auto"/>
            </w:pPr>
            <w:r>
              <w:rPr>
                <w:color w:val="000000"/>
              </w:rPr>
              <w:t>Scale</w:t>
            </w:r>
          </w:p>
        </w:tc>
        <w:tc>
          <w:tcPr>
            <w:tcW w:w="4896" w:type="dxa"/>
            <w:vAlign w:val="center"/>
          </w:tcPr>
          <w:p w14:paraId="33517AC5">
            <w:pPr>
              <w:spacing w:line="240" w:lineRule="auto"/>
            </w:pPr>
            <w:r>
              <w:rPr>
                <w:color w:val="000000"/>
              </w:rPr>
              <w:t>60,000 CIFAR-10 images; shifted/corrupted test data from CIFAR-10-C</w:t>
            </w:r>
          </w:p>
        </w:tc>
      </w:tr>
      <w:tr w14:paraId="5D529F73">
        <w:trPr>
          <w:jc w:val="center"/>
        </w:trPr>
        <w:tc>
          <w:tcPr>
            <w:tcW w:w="4896" w:type="dxa"/>
            <w:vAlign w:val="center"/>
          </w:tcPr>
          <w:p w14:paraId="4CD48BB7">
            <w:pPr>
              <w:spacing w:line="240" w:lineRule="auto"/>
            </w:pPr>
            <w:r>
              <w:rPr>
                <w:color w:val="000000"/>
              </w:rPr>
              <w:t>Main concerns</w:t>
            </w:r>
          </w:p>
        </w:tc>
        <w:tc>
          <w:tcPr>
            <w:tcW w:w="4896" w:type="dxa"/>
            <w:vAlign w:val="center"/>
          </w:tcPr>
          <w:p w14:paraId="59BD8046">
            <w:pPr>
              <w:spacing w:line="240" w:lineRule="auto"/>
            </w:pPr>
            <w:r>
              <w:rPr>
                <w:color w:val="000000"/>
              </w:rPr>
              <w:t>Data leakage, split design, calibration data, corruption severity and computation</w:t>
            </w:r>
          </w:p>
        </w:tc>
      </w:tr>
      <w:tr w14:paraId="419EE84E">
        <w:trPr>
          <w:jc w:val="center"/>
        </w:trPr>
        <w:tc>
          <w:tcPr>
            <w:tcW w:w="4896" w:type="dxa"/>
            <w:vAlign w:val="center"/>
          </w:tcPr>
          <w:p w14:paraId="3437751D">
            <w:pPr>
              <w:spacing w:line="240" w:lineRule="auto"/>
            </w:pPr>
            <w:r>
              <w:rPr>
                <w:color w:val="000000"/>
              </w:rPr>
              <w:t>Preparation</w:t>
            </w:r>
          </w:p>
        </w:tc>
        <w:tc>
          <w:tcPr>
            <w:tcW w:w="4896" w:type="dxa"/>
            <w:vAlign w:val="center"/>
          </w:tcPr>
          <w:p w14:paraId="697AA4FA">
            <w:pPr>
              <w:spacing w:line="240" w:lineRule="auto"/>
            </w:pPr>
            <w:r>
              <w:rPr>
                <w:color w:val="000000"/>
              </w:rPr>
              <w:t>Normal image normalization/preprocessing; select manageable corruption experiments</w:t>
            </w:r>
          </w:p>
        </w:tc>
      </w:tr>
    </w:tbl>
    <w:p w14:paraId="3271CF23">
      <w:pPr>
        <w:pStyle w:val="2"/>
      </w:pPr>
      <w:r>
        <w:rPr>
          <w:color w:val="000000"/>
        </w:rPr>
        <w:t>5. Existing Solutions</w:t>
      </w:r>
    </w:p>
    <w:p w14:paraId="7DD6DBA2">
      <w:pPr>
        <w:pStyle w:val="23"/>
      </w:pPr>
      <w:r>
        <w:rPr>
          <w:color w:val="000000"/>
        </w:rPr>
        <w:t>Softmax confidence / Maximum Softmax Probability (MSP): a simple baseline confidence measure obtained from the classifier output.</w:t>
      </w:r>
    </w:p>
    <w:p w14:paraId="177E7075">
      <w:pPr>
        <w:pStyle w:val="23"/>
      </w:pPr>
      <w:r>
        <w:rPr>
          <w:color w:val="000000"/>
        </w:rPr>
        <w:t>Temperature scaling: a post-hoc calibration method that adjusts confidence values to better match observed accuracy.</w:t>
      </w:r>
    </w:p>
    <w:p w14:paraId="7E1D8B09">
      <w:pPr>
        <w:pStyle w:val="23"/>
      </w:pPr>
      <w:r>
        <w:rPr>
          <w:color w:val="000000"/>
        </w:rPr>
        <w:t>Monte Carlo Dropout: runs a dropout-enabled model multiple times during inference and uses variation between predictions as an uncertainty signal.</w:t>
      </w:r>
    </w:p>
    <w:p w14:paraId="6F92D611">
      <w:pPr>
        <w:pStyle w:val="23"/>
      </w:pPr>
      <w:r>
        <w:rPr>
          <w:color w:val="000000"/>
        </w:rPr>
        <w:t>Deep Ensembles: trains multiple models and uses their disagreement as an uncertainty signal. This may be useful but requires additional computation.</w:t>
      </w:r>
    </w:p>
    <w:p w14:paraId="3B579901">
      <w:pPr>
        <w:pStyle w:val="23"/>
      </w:pPr>
      <w:r>
        <w:rPr>
          <w:color w:val="000000"/>
        </w:rPr>
        <w:t>OOD-related scores: entropy and feature-space distance methods can be used to identify inputs that appear unfamiliar to the model.</w:t>
      </w:r>
    </w:p>
    <w:p w14:paraId="000EFBB1">
      <w:pPr>
        <w:pStyle w:val="2"/>
      </w:pPr>
      <w:r>
        <w:rPr>
          <w:color w:val="000000"/>
        </w:rPr>
        <w:t>6. Literature / Technical Research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703A3D9">
        <w:trPr>
          <w:jc w:val="center"/>
        </w:trPr>
        <w:tc>
          <w:tcPr>
            <w:tcW w:w="3264" w:type="dxa"/>
            <w:vAlign w:val="center"/>
          </w:tcPr>
          <w:p w14:paraId="0C9BB4A9">
            <w:pPr>
              <w:spacing w:line="240" w:lineRule="auto"/>
            </w:pPr>
            <w:r>
              <w:rPr>
                <w:b/>
                <w:color w:val="000000"/>
              </w:rPr>
              <w:t>Source</w:t>
            </w:r>
          </w:p>
        </w:tc>
        <w:tc>
          <w:tcPr>
            <w:tcW w:w="3264" w:type="dxa"/>
            <w:vAlign w:val="center"/>
          </w:tcPr>
          <w:p w14:paraId="5B30ED40">
            <w:pPr>
              <w:spacing w:line="240" w:lineRule="auto"/>
            </w:pPr>
            <w:r>
              <w:rPr>
                <w:b/>
                <w:color w:val="000000"/>
              </w:rPr>
              <w:t>What we learned</w:t>
            </w:r>
          </w:p>
        </w:tc>
        <w:tc>
          <w:tcPr>
            <w:tcW w:w="3264" w:type="dxa"/>
            <w:vAlign w:val="center"/>
          </w:tcPr>
          <w:p w14:paraId="520DFB49">
            <w:pPr>
              <w:spacing w:line="240" w:lineRule="auto"/>
            </w:pPr>
            <w:r>
              <w:rPr>
                <w:b/>
                <w:color w:val="000000"/>
              </w:rPr>
              <w:t>Why it matters here</w:t>
            </w:r>
          </w:p>
        </w:tc>
      </w:tr>
      <w:tr w14:paraId="3201180F">
        <w:trPr>
          <w:jc w:val="center"/>
        </w:trPr>
        <w:tc>
          <w:tcPr>
            <w:tcW w:w="3264" w:type="dxa"/>
            <w:vAlign w:val="center"/>
          </w:tcPr>
          <w:p w14:paraId="6E3D071A">
            <w:pPr>
              <w:spacing w:line="240" w:lineRule="auto"/>
            </w:pPr>
            <w:r>
              <w:rPr>
                <w:color w:val="000000"/>
              </w:rPr>
              <w:t>Guo et al. (2017)</w:t>
            </w:r>
          </w:p>
        </w:tc>
        <w:tc>
          <w:tcPr>
            <w:tcW w:w="3264" w:type="dxa"/>
            <w:vAlign w:val="center"/>
          </w:tcPr>
          <w:p w14:paraId="5E335CC5">
            <w:pPr>
              <w:spacing w:line="240" w:lineRule="auto"/>
            </w:pPr>
            <w:r>
              <w:rPr>
                <w:color w:val="000000"/>
              </w:rPr>
              <w:t>Neural networks can be poorly calibrated; temperature scaling is a simple calibration method.</w:t>
            </w:r>
          </w:p>
        </w:tc>
        <w:tc>
          <w:tcPr>
            <w:tcW w:w="3264" w:type="dxa"/>
            <w:vAlign w:val="center"/>
          </w:tcPr>
          <w:p w14:paraId="45E13211">
            <w:pPr>
              <w:spacing w:line="240" w:lineRule="auto"/>
            </w:pPr>
            <w:r>
              <w:rPr>
                <w:color w:val="000000"/>
              </w:rPr>
              <w:t>Provides the basis for our calibration experiment.</w:t>
            </w:r>
          </w:p>
        </w:tc>
      </w:tr>
      <w:tr w14:paraId="6DD3DFD1">
        <w:trPr>
          <w:jc w:val="center"/>
        </w:trPr>
        <w:tc>
          <w:tcPr>
            <w:tcW w:w="3264" w:type="dxa"/>
            <w:vAlign w:val="center"/>
          </w:tcPr>
          <w:p w14:paraId="6147DFC7">
            <w:pPr>
              <w:spacing w:line="240" w:lineRule="auto"/>
            </w:pPr>
            <w:r>
              <w:rPr>
                <w:color w:val="000000"/>
              </w:rPr>
              <w:t>Gal &amp; Ghahramani (2016)</w:t>
            </w:r>
          </w:p>
        </w:tc>
        <w:tc>
          <w:tcPr>
            <w:tcW w:w="3264" w:type="dxa"/>
            <w:vAlign w:val="center"/>
          </w:tcPr>
          <w:p w14:paraId="32BC0EB3">
            <w:pPr>
              <w:spacing w:line="240" w:lineRule="auto"/>
            </w:pPr>
            <w:r>
              <w:rPr>
                <w:color w:val="000000"/>
              </w:rPr>
              <w:t>Dropout can be used during inference to obtain an approximate uncertainty signal.</w:t>
            </w:r>
          </w:p>
        </w:tc>
        <w:tc>
          <w:tcPr>
            <w:tcW w:w="3264" w:type="dxa"/>
            <w:vAlign w:val="center"/>
          </w:tcPr>
          <w:p w14:paraId="6EF17F8D">
            <w:pPr>
              <w:spacing w:line="240" w:lineRule="auto"/>
            </w:pPr>
            <w:r>
              <w:rPr>
                <w:color w:val="000000"/>
              </w:rPr>
              <w:t>Supports investigation of MC Dropout.</w:t>
            </w:r>
          </w:p>
        </w:tc>
      </w:tr>
      <w:tr w14:paraId="0A5C1710">
        <w:trPr>
          <w:jc w:val="center"/>
        </w:trPr>
        <w:tc>
          <w:tcPr>
            <w:tcW w:w="3264" w:type="dxa"/>
            <w:vAlign w:val="center"/>
          </w:tcPr>
          <w:p w14:paraId="4B251609">
            <w:pPr>
              <w:spacing w:line="240" w:lineRule="auto"/>
            </w:pPr>
            <w:r>
              <w:rPr>
                <w:color w:val="000000"/>
              </w:rPr>
              <w:t>Lakshminarayanan et al. (2017)</w:t>
            </w:r>
          </w:p>
        </w:tc>
        <w:tc>
          <w:tcPr>
            <w:tcW w:w="3264" w:type="dxa"/>
            <w:vAlign w:val="center"/>
          </w:tcPr>
          <w:p w14:paraId="1A2389A3">
            <w:pPr>
              <w:spacing w:line="240" w:lineRule="auto"/>
            </w:pPr>
            <w:r>
              <w:rPr>
                <w:color w:val="000000"/>
              </w:rPr>
              <w:t>Deep ensembles can provide useful predictive uncertainty.</w:t>
            </w:r>
          </w:p>
        </w:tc>
        <w:tc>
          <w:tcPr>
            <w:tcW w:w="3264" w:type="dxa"/>
            <w:vAlign w:val="center"/>
          </w:tcPr>
          <w:p w14:paraId="227F6AC4">
            <w:pPr>
              <w:spacing w:line="240" w:lineRule="auto"/>
            </w:pPr>
            <w:r>
              <w:rPr>
                <w:color w:val="000000"/>
              </w:rPr>
              <w:t>Provides a stronger but more expensive comparison.</w:t>
            </w:r>
          </w:p>
        </w:tc>
      </w:tr>
      <w:tr w14:paraId="4D4ACD1C">
        <w:trPr>
          <w:jc w:val="center"/>
        </w:trPr>
        <w:tc>
          <w:tcPr>
            <w:tcW w:w="3264" w:type="dxa"/>
            <w:vAlign w:val="center"/>
          </w:tcPr>
          <w:p w14:paraId="0CD2E522">
            <w:pPr>
              <w:spacing w:line="240" w:lineRule="auto"/>
            </w:pPr>
            <w:r>
              <w:rPr>
                <w:color w:val="000000"/>
              </w:rPr>
              <w:t>Hendrycks &amp; Gimpel (2017)</w:t>
            </w:r>
          </w:p>
        </w:tc>
        <w:tc>
          <w:tcPr>
            <w:tcW w:w="3264" w:type="dxa"/>
            <w:vAlign w:val="center"/>
          </w:tcPr>
          <w:p w14:paraId="1EA2A494">
            <w:pPr>
              <w:spacing w:line="240" w:lineRule="auto"/>
            </w:pPr>
            <w:r>
              <w:rPr>
                <w:color w:val="000000"/>
              </w:rPr>
              <w:t>Simple confidence scores can be used as a baseline for incorrect/OOD examples.</w:t>
            </w:r>
          </w:p>
        </w:tc>
        <w:tc>
          <w:tcPr>
            <w:tcW w:w="3264" w:type="dxa"/>
            <w:vAlign w:val="center"/>
          </w:tcPr>
          <w:p w14:paraId="52E0B984">
            <w:pPr>
              <w:spacing w:line="240" w:lineRule="auto"/>
            </w:pPr>
            <w:r>
              <w:rPr>
                <w:color w:val="000000"/>
              </w:rPr>
              <w:t>Useful for establishing a basic reference.</w:t>
            </w:r>
          </w:p>
        </w:tc>
      </w:tr>
      <w:tr w14:paraId="39C402F8">
        <w:trPr>
          <w:jc w:val="center"/>
        </w:trPr>
        <w:tc>
          <w:tcPr>
            <w:tcW w:w="3264" w:type="dxa"/>
            <w:vAlign w:val="center"/>
          </w:tcPr>
          <w:p w14:paraId="21E1E3A0">
            <w:pPr>
              <w:spacing w:line="240" w:lineRule="auto"/>
            </w:pPr>
            <w:r>
              <w:rPr>
                <w:color w:val="000000"/>
              </w:rPr>
              <w:t>Hendrycks &amp; Dietterich (2019)</w:t>
            </w:r>
          </w:p>
        </w:tc>
        <w:tc>
          <w:tcPr>
            <w:tcW w:w="3264" w:type="dxa"/>
            <w:vAlign w:val="center"/>
          </w:tcPr>
          <w:p w14:paraId="130D287D">
            <w:pPr>
              <w:spacing w:line="240" w:lineRule="auto"/>
            </w:pPr>
            <w:r>
              <w:rPr>
                <w:color w:val="000000"/>
              </w:rPr>
              <w:t>Common corruptions can be used to benchmark neural-network robustness.</w:t>
            </w:r>
          </w:p>
        </w:tc>
        <w:tc>
          <w:tcPr>
            <w:tcW w:w="3264" w:type="dxa"/>
            <w:vAlign w:val="center"/>
          </w:tcPr>
          <w:p w14:paraId="5D4D7EFC">
            <w:pPr>
              <w:spacing w:line="240" w:lineRule="auto"/>
            </w:pPr>
            <w:r>
              <w:rPr>
                <w:color w:val="000000"/>
              </w:rPr>
              <w:t>Motivates controlled shift testing with CIFAR-10-C.</w:t>
            </w:r>
          </w:p>
        </w:tc>
      </w:tr>
      <w:tr w14:paraId="0D222489">
        <w:trPr>
          <w:jc w:val="center"/>
        </w:trPr>
        <w:tc>
          <w:tcPr>
            <w:tcW w:w="3264" w:type="dxa"/>
            <w:vAlign w:val="center"/>
          </w:tcPr>
          <w:p w14:paraId="0EA3D1C4">
            <w:pPr>
              <w:spacing w:line="240" w:lineRule="auto"/>
            </w:pPr>
            <w:r>
              <w:rPr>
                <w:color w:val="000000"/>
              </w:rPr>
              <w:t>Ovadia et al. (2019)</w:t>
            </w:r>
          </w:p>
        </w:tc>
        <w:tc>
          <w:tcPr>
            <w:tcW w:w="3264" w:type="dxa"/>
            <w:vAlign w:val="center"/>
          </w:tcPr>
          <w:p w14:paraId="27AB437C">
            <w:pPr>
              <w:spacing w:line="240" w:lineRule="auto"/>
            </w:pPr>
            <w:r>
              <w:rPr>
                <w:color w:val="000000"/>
              </w:rPr>
              <w:t>Uncertainty behaviour can change under dataset shift, so standard calibration is not enough by itself.</w:t>
            </w:r>
          </w:p>
        </w:tc>
        <w:tc>
          <w:tcPr>
            <w:tcW w:w="3264" w:type="dxa"/>
            <w:vAlign w:val="center"/>
          </w:tcPr>
          <w:p w14:paraId="6922C607">
            <w:pPr>
              <w:spacing w:line="240" w:lineRule="auto"/>
            </w:pPr>
            <w:r>
              <w:rPr>
                <w:color w:val="000000"/>
              </w:rPr>
              <w:t>Directly relevant to the main research question.</w:t>
            </w:r>
          </w:p>
        </w:tc>
      </w:tr>
      <w:tr w14:paraId="76F6E511">
        <w:trPr>
          <w:jc w:val="center"/>
        </w:trPr>
        <w:tc>
          <w:tcPr>
            <w:tcW w:w="3264" w:type="dxa"/>
            <w:vAlign w:val="center"/>
          </w:tcPr>
          <w:p w14:paraId="0D079C61">
            <w:pPr>
              <w:spacing w:line="240" w:lineRule="auto"/>
            </w:pPr>
            <w:r>
              <w:rPr>
                <w:color w:val="000000"/>
              </w:rPr>
              <w:t>Geifman &amp; El-Yaniv (2017)</w:t>
            </w:r>
          </w:p>
        </w:tc>
        <w:tc>
          <w:tcPr>
            <w:tcW w:w="3264" w:type="dxa"/>
            <w:vAlign w:val="center"/>
          </w:tcPr>
          <w:p w14:paraId="4E4C05E1">
            <w:pPr>
              <w:spacing w:line="240" w:lineRule="auto"/>
            </w:pPr>
            <w:r>
              <w:rPr>
                <w:color w:val="000000"/>
              </w:rPr>
              <w:t>Selective classification provides a framework where a model can abstain from uncertain predictions.</w:t>
            </w:r>
          </w:p>
        </w:tc>
        <w:tc>
          <w:tcPr>
            <w:tcW w:w="3264" w:type="dxa"/>
            <w:vAlign w:val="center"/>
          </w:tcPr>
          <w:p w14:paraId="6316A772">
            <w:pPr>
              <w:spacing w:line="240" w:lineRule="auto"/>
            </w:pPr>
            <w:r>
              <w:rPr>
                <w:color w:val="000000"/>
              </w:rPr>
              <w:t>Supports the risk–coverage part of the project.</w:t>
            </w:r>
          </w:p>
        </w:tc>
      </w:tr>
    </w:tbl>
    <w:p w14:paraId="048603E0">
      <w:pPr>
        <w:pStyle w:val="2"/>
      </w:pPr>
      <w:r>
        <w:rPr>
          <w:color w:val="000000"/>
        </w:rPr>
        <w:t>7. Candidate Approaches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581E235">
        <w:trPr>
          <w:jc w:val="center"/>
        </w:trPr>
        <w:tc>
          <w:tcPr>
            <w:tcW w:w="3264" w:type="dxa"/>
            <w:vAlign w:val="center"/>
          </w:tcPr>
          <w:p w14:paraId="12AF6951">
            <w:pPr>
              <w:spacing w:line="240" w:lineRule="auto"/>
            </w:pPr>
            <w:r>
              <w:rPr>
                <w:b/>
                <w:color w:val="000000"/>
              </w:rPr>
              <w:t>Approach</w:t>
            </w:r>
          </w:p>
        </w:tc>
        <w:tc>
          <w:tcPr>
            <w:tcW w:w="3264" w:type="dxa"/>
            <w:vAlign w:val="center"/>
          </w:tcPr>
          <w:p w14:paraId="1FDBB762">
            <w:pPr>
              <w:spacing w:line="240" w:lineRule="auto"/>
            </w:pPr>
            <w:r>
              <w:rPr>
                <w:b/>
                <w:color w:val="000000"/>
              </w:rPr>
              <w:t>Why we are considering it</w:t>
            </w:r>
          </w:p>
        </w:tc>
        <w:tc>
          <w:tcPr>
            <w:tcW w:w="3264" w:type="dxa"/>
            <w:vAlign w:val="center"/>
          </w:tcPr>
          <w:p w14:paraId="655DBBD6">
            <w:pPr>
              <w:spacing w:line="240" w:lineRule="auto"/>
            </w:pPr>
            <w:r>
              <w:rPr>
                <w:b/>
                <w:color w:val="000000"/>
              </w:rPr>
              <w:t>Possible limitation</w:t>
            </w:r>
          </w:p>
        </w:tc>
      </w:tr>
      <w:tr w14:paraId="7E9583DD">
        <w:trPr>
          <w:jc w:val="center"/>
        </w:trPr>
        <w:tc>
          <w:tcPr>
            <w:tcW w:w="3264" w:type="dxa"/>
            <w:vAlign w:val="center"/>
          </w:tcPr>
          <w:p w14:paraId="4967CE3F">
            <w:pPr>
              <w:spacing w:line="240" w:lineRule="auto"/>
            </w:pPr>
            <w:r>
              <w:rPr>
                <w:color w:val="000000"/>
              </w:rPr>
              <w:t>A. Softmax + Temperature Scaling</w:t>
            </w:r>
          </w:p>
        </w:tc>
        <w:tc>
          <w:tcPr>
            <w:tcW w:w="3264" w:type="dxa"/>
            <w:vAlign w:val="center"/>
          </w:tcPr>
          <w:p w14:paraId="7AA648CC">
            <w:pPr>
              <w:spacing w:line="240" w:lineRule="auto"/>
            </w:pPr>
            <w:r>
              <w:rPr>
                <w:color w:val="000000"/>
              </w:rPr>
              <w:t>Simple, low-cost and useful for studying calibration.</w:t>
            </w:r>
          </w:p>
        </w:tc>
        <w:tc>
          <w:tcPr>
            <w:tcW w:w="3264" w:type="dxa"/>
            <w:vAlign w:val="center"/>
          </w:tcPr>
          <w:p w14:paraId="74934EAE">
            <w:pPr>
              <w:spacing w:line="240" w:lineRule="auto"/>
            </w:pPr>
            <w:r>
              <w:rPr>
                <w:color w:val="000000"/>
              </w:rPr>
              <w:t>Mainly addresses calibration; may not detect strong distribution shifts.</w:t>
            </w:r>
          </w:p>
        </w:tc>
      </w:tr>
      <w:tr w14:paraId="03885089">
        <w:trPr>
          <w:jc w:val="center"/>
        </w:trPr>
        <w:tc>
          <w:tcPr>
            <w:tcW w:w="3264" w:type="dxa"/>
            <w:vAlign w:val="center"/>
          </w:tcPr>
          <w:p w14:paraId="0EAEF056">
            <w:pPr>
              <w:spacing w:line="240" w:lineRule="auto"/>
            </w:pPr>
            <w:r>
              <w:rPr>
                <w:color w:val="000000"/>
              </w:rPr>
              <w:t>B. Monte Carlo Dropout</w:t>
            </w:r>
          </w:p>
        </w:tc>
        <w:tc>
          <w:tcPr>
            <w:tcW w:w="3264" w:type="dxa"/>
            <w:vAlign w:val="center"/>
          </w:tcPr>
          <w:p w14:paraId="40AF824F">
            <w:pPr>
              <w:spacing w:line="240" w:lineRule="auto"/>
            </w:pPr>
            <w:r>
              <w:rPr>
                <w:color w:val="000000"/>
              </w:rPr>
              <w:t>Provides an uncertainty signal from repeated stochastic predictions.</w:t>
            </w:r>
          </w:p>
        </w:tc>
        <w:tc>
          <w:tcPr>
            <w:tcW w:w="3264" w:type="dxa"/>
            <w:vAlign w:val="center"/>
          </w:tcPr>
          <w:p w14:paraId="4DE1AA86">
            <w:pPr>
              <w:spacing w:line="240" w:lineRule="auto"/>
            </w:pPr>
            <w:r>
              <w:rPr>
                <w:color w:val="000000"/>
              </w:rPr>
              <w:t>Needs multiple inference passes and therefore takes more time.</w:t>
            </w:r>
          </w:p>
        </w:tc>
      </w:tr>
      <w:tr w14:paraId="13A45F48">
        <w:trPr>
          <w:jc w:val="center"/>
        </w:trPr>
        <w:tc>
          <w:tcPr>
            <w:tcW w:w="3264" w:type="dxa"/>
            <w:vAlign w:val="center"/>
          </w:tcPr>
          <w:p w14:paraId="1D2B763D">
            <w:pPr>
              <w:spacing w:line="240" w:lineRule="auto"/>
            </w:pPr>
            <w:r>
              <w:rPr>
                <w:color w:val="000000"/>
              </w:rPr>
              <w:t>C. Small Deep Ensemble</w:t>
            </w:r>
          </w:p>
        </w:tc>
        <w:tc>
          <w:tcPr>
            <w:tcW w:w="3264" w:type="dxa"/>
            <w:vAlign w:val="center"/>
          </w:tcPr>
          <w:p w14:paraId="0C8C52EE">
            <w:pPr>
              <w:spacing w:line="240" w:lineRule="auto"/>
            </w:pPr>
            <w:r>
              <w:rPr>
                <w:color w:val="000000"/>
              </w:rPr>
              <w:t>Model disagreement can provide a useful uncertainty signal.</w:t>
            </w:r>
          </w:p>
        </w:tc>
        <w:tc>
          <w:tcPr>
            <w:tcW w:w="3264" w:type="dxa"/>
            <w:vAlign w:val="center"/>
          </w:tcPr>
          <w:p w14:paraId="421ED804">
            <w:pPr>
              <w:spacing w:line="240" w:lineRule="auto"/>
            </w:pPr>
            <w:r>
              <w:rPr>
                <w:color w:val="000000"/>
              </w:rPr>
              <w:t>More training time and memory are required.</w:t>
            </w:r>
          </w:p>
        </w:tc>
      </w:tr>
      <w:tr w14:paraId="09F548D8">
        <w:trPr>
          <w:jc w:val="center"/>
        </w:trPr>
        <w:tc>
          <w:tcPr>
            <w:tcW w:w="3264" w:type="dxa"/>
            <w:vAlign w:val="center"/>
          </w:tcPr>
          <w:p w14:paraId="3FF1CBD0">
            <w:pPr>
              <w:spacing w:line="240" w:lineRule="auto"/>
            </w:pPr>
            <w:r>
              <w:rPr>
                <w:color w:val="000000"/>
              </w:rPr>
              <w:t>D. Entropy / feature-based score</w:t>
            </w:r>
          </w:p>
        </w:tc>
        <w:tc>
          <w:tcPr>
            <w:tcW w:w="3264" w:type="dxa"/>
            <w:vAlign w:val="center"/>
          </w:tcPr>
          <w:p w14:paraId="08C69AB9">
            <w:pPr>
              <w:spacing w:line="240" w:lineRule="auto"/>
            </w:pPr>
            <w:r>
              <w:rPr>
                <w:color w:val="000000"/>
              </w:rPr>
              <w:t>Can complement confidence by indicating uncertainty or unfamiliarity.</w:t>
            </w:r>
          </w:p>
        </w:tc>
        <w:tc>
          <w:tcPr>
            <w:tcW w:w="3264" w:type="dxa"/>
            <w:vAlign w:val="center"/>
          </w:tcPr>
          <w:p w14:paraId="17499AB2">
            <w:pPr>
              <w:spacing w:line="240" w:lineRule="auto"/>
            </w:pPr>
            <w:r>
              <w:rPr>
                <w:color w:val="000000"/>
              </w:rPr>
              <w:t>Needs additional implementation and careful interpretation.</w:t>
            </w:r>
          </w:p>
        </w:tc>
      </w:tr>
    </w:tbl>
    <w:p w14:paraId="3B4A6E7C">
      <w:r>
        <w:rPr>
          <w:color w:val="000000"/>
        </w:rPr>
        <w:t>Initial direction: we plan to start with raw softmax confidence as the baseline, investigate temperature scaling for calibration, and then test MC Dropout as the main uncertainty method. Entropy or another lightweight score can be added as a complementary comparison. A small ensemble will be treated as a stretch goal if the time and compute budget allow.</w:t>
      </w:r>
    </w:p>
    <w:p w14:paraId="6A3CD934">
      <w:pPr>
        <w:pStyle w:val="2"/>
      </w:pPr>
      <w:r>
        <w:rPr>
          <w:color w:val="000000"/>
        </w:rPr>
        <w:t>8. Evaluation Strategy</w:t>
      </w:r>
    </w:p>
    <w:p w14:paraId="4B09D9B7">
      <w:r>
        <w:rPr>
          <w:color w:val="000000"/>
        </w:rPr>
        <w:t>Accuracy will be reported, but it will not be the only measure of success. Since the main question concerns reliability, the evaluation needs to examine whether confidence and uncertainty actually correspond to model errors.</w:t>
      </w:r>
    </w:p>
    <w:p w14:paraId="65A7CFB8">
      <w:pPr>
        <w:pStyle w:val="23"/>
      </w:pPr>
      <w:r>
        <w:rPr>
          <w:color w:val="000000"/>
        </w:rPr>
        <w:t>Accuracy: measures normal classification performance on clean and shifted data.</w:t>
      </w:r>
    </w:p>
    <w:p w14:paraId="5FC98CAF">
      <w:pPr>
        <w:pStyle w:val="23"/>
      </w:pPr>
      <w:r>
        <w:rPr>
          <w:color w:val="000000"/>
        </w:rPr>
        <w:t>Expected Calibration Error (ECE): measures the difference between predicted confidence and observed accuracy.</w:t>
      </w:r>
    </w:p>
    <w:p w14:paraId="3E221111">
      <w:pPr>
        <w:pStyle w:val="23"/>
      </w:pPr>
      <w:r>
        <w:rPr>
          <w:color w:val="000000"/>
        </w:rPr>
        <w:t>Reliability diagrams: provide a visual comparison between confidence and actual correctness.</w:t>
      </w:r>
    </w:p>
    <w:p w14:paraId="53A2CBA7">
      <w:pPr>
        <w:pStyle w:val="23"/>
      </w:pPr>
      <w:r>
        <w:rPr>
          <w:color w:val="000000"/>
        </w:rPr>
        <w:t>Brier Score: evaluates the quality of probabilistic predictions.</w:t>
      </w:r>
    </w:p>
    <w:p w14:paraId="6EF9931C">
      <w:pPr>
        <w:pStyle w:val="23"/>
      </w:pPr>
      <w:r>
        <w:rPr>
          <w:color w:val="000000"/>
        </w:rPr>
        <w:t>Risk–coverage curves: show how prediction risk changes when the model is allowed to abstain from uncertain cases.</w:t>
      </w:r>
    </w:p>
    <w:p w14:paraId="07DC6F71">
      <w:pPr>
        <w:pStyle w:val="23"/>
      </w:pPr>
      <w:r>
        <w:rPr>
          <w:color w:val="000000"/>
        </w:rPr>
        <w:t>Shift/OOD separation: if a conventional OOD dataset is added, AUROC can be used to evaluate whether uncertainty separates familiar and unfamiliar inputs.</w:t>
      </w:r>
    </w:p>
    <w:p w14:paraId="3504B898">
      <w:r>
        <w:rPr>
          <w:color w:val="000000"/>
        </w:rPr>
        <w:t>The risk–coverage analysis is especially important because the goal is not simply to increase accuracy by removing difficult examples. We want to know whether the reliability signal helps the system choose which predictions are safer to accept.</w:t>
      </w:r>
    </w:p>
    <w:p w14:paraId="2158F1B5">
      <w:pPr>
        <w:pStyle w:val="2"/>
      </w:pPr>
      <w:r>
        <w:rPr>
          <w:color w:val="000000"/>
        </w:rPr>
        <w:t>9. Initial Methodology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3CA3F43D">
        <w:trPr>
          <w:jc w:val="center"/>
        </w:trPr>
        <w:tc>
          <w:tcPr>
            <w:tcW w:w="4896" w:type="dxa"/>
            <w:vAlign w:val="center"/>
          </w:tcPr>
          <w:p w14:paraId="5A9F3AD9">
            <w:pPr>
              <w:spacing w:line="240" w:lineRule="auto"/>
            </w:pPr>
            <w:r>
              <w:rPr>
                <w:b/>
                <w:color w:val="000000"/>
              </w:rPr>
              <w:t>Stage</w:t>
            </w:r>
          </w:p>
        </w:tc>
        <w:tc>
          <w:tcPr>
            <w:tcW w:w="4896" w:type="dxa"/>
            <w:vAlign w:val="center"/>
          </w:tcPr>
          <w:p w14:paraId="30BDDE65">
            <w:pPr>
              <w:spacing w:line="240" w:lineRule="auto"/>
            </w:pPr>
            <w:r>
              <w:rPr>
                <w:b/>
                <w:color w:val="000000"/>
              </w:rPr>
              <w:t>Initial plan</w:t>
            </w:r>
          </w:p>
        </w:tc>
      </w:tr>
      <w:tr w14:paraId="629553BB">
        <w:trPr>
          <w:jc w:val="center"/>
        </w:trPr>
        <w:tc>
          <w:tcPr>
            <w:tcW w:w="4896" w:type="dxa"/>
            <w:vAlign w:val="center"/>
          </w:tcPr>
          <w:p w14:paraId="435836B9">
            <w:pPr>
              <w:spacing w:line="240" w:lineRule="auto"/>
            </w:pPr>
            <w:r>
              <w:rPr>
                <w:color w:val="000000"/>
              </w:rPr>
              <w:t>1. Data preparation</w:t>
            </w:r>
          </w:p>
        </w:tc>
        <w:tc>
          <w:tcPr>
            <w:tcW w:w="4896" w:type="dxa"/>
            <w:vAlign w:val="center"/>
          </w:tcPr>
          <w:p w14:paraId="72E1E856">
            <w:pPr>
              <w:spacing w:line="240" w:lineRule="auto"/>
            </w:pPr>
            <w:r>
              <w:rPr>
                <w:color w:val="000000"/>
              </w:rPr>
              <w:t>Prepare CIFAR-10 and establish training, validation/calibration and test splits.</w:t>
            </w:r>
          </w:p>
        </w:tc>
      </w:tr>
      <w:tr w14:paraId="0528C49B">
        <w:trPr>
          <w:jc w:val="center"/>
        </w:trPr>
        <w:tc>
          <w:tcPr>
            <w:tcW w:w="4896" w:type="dxa"/>
            <w:vAlign w:val="center"/>
          </w:tcPr>
          <w:p w14:paraId="535909FA">
            <w:pPr>
              <w:spacing w:line="240" w:lineRule="auto"/>
            </w:pPr>
            <w:r>
              <w:rPr>
                <w:color w:val="000000"/>
              </w:rPr>
              <w:t>2. Baseline</w:t>
            </w:r>
          </w:p>
        </w:tc>
        <w:tc>
          <w:tcPr>
            <w:tcW w:w="4896" w:type="dxa"/>
            <w:vAlign w:val="center"/>
          </w:tcPr>
          <w:p w14:paraId="462A5082">
            <w:pPr>
              <w:spacing w:line="240" w:lineRule="auto"/>
            </w:pPr>
            <w:r>
              <w:rPr>
                <w:color w:val="000000"/>
              </w:rPr>
              <w:t>Train a small CNN and use the maximum softmax probability as the basic confidence score.</w:t>
            </w:r>
          </w:p>
        </w:tc>
      </w:tr>
      <w:tr w14:paraId="1D399B1D">
        <w:trPr>
          <w:jc w:val="center"/>
        </w:trPr>
        <w:tc>
          <w:tcPr>
            <w:tcW w:w="4896" w:type="dxa"/>
            <w:vAlign w:val="center"/>
          </w:tcPr>
          <w:p w14:paraId="2F0CDA0C">
            <w:pPr>
              <w:spacing w:line="240" w:lineRule="auto"/>
            </w:pPr>
            <w:r>
              <w:rPr>
                <w:color w:val="000000"/>
              </w:rPr>
              <w:t>3. Baseline evaluation</w:t>
            </w:r>
          </w:p>
        </w:tc>
        <w:tc>
          <w:tcPr>
            <w:tcW w:w="4896" w:type="dxa"/>
            <w:vAlign w:val="center"/>
          </w:tcPr>
          <w:p w14:paraId="447D0D38">
            <w:pPr>
              <w:spacing w:line="240" w:lineRule="auto"/>
            </w:pPr>
            <w:r>
              <w:rPr>
                <w:color w:val="000000"/>
              </w:rPr>
              <w:t>Measure accuracy, confidence behaviour and calibration on clean test data.</w:t>
            </w:r>
          </w:p>
        </w:tc>
      </w:tr>
      <w:tr w14:paraId="63183A88">
        <w:trPr>
          <w:jc w:val="center"/>
        </w:trPr>
        <w:tc>
          <w:tcPr>
            <w:tcW w:w="4896" w:type="dxa"/>
            <w:vAlign w:val="center"/>
          </w:tcPr>
          <w:p w14:paraId="691F15B1">
            <w:pPr>
              <w:spacing w:line="240" w:lineRule="auto"/>
            </w:pPr>
            <w:r>
              <w:rPr>
                <w:color w:val="000000"/>
              </w:rPr>
              <w:t>4. Calibration</w:t>
            </w:r>
          </w:p>
        </w:tc>
        <w:tc>
          <w:tcPr>
            <w:tcW w:w="4896" w:type="dxa"/>
            <w:vAlign w:val="center"/>
          </w:tcPr>
          <w:p w14:paraId="10D6811A">
            <w:pPr>
              <w:spacing w:line="240" w:lineRule="auto"/>
            </w:pPr>
            <w:r>
              <w:rPr>
                <w:color w:val="000000"/>
              </w:rPr>
              <w:t>Investigate temperature scaling using development/calibration data.</w:t>
            </w:r>
          </w:p>
        </w:tc>
      </w:tr>
      <w:tr w14:paraId="3BBA1C5E">
        <w:trPr>
          <w:jc w:val="center"/>
        </w:trPr>
        <w:tc>
          <w:tcPr>
            <w:tcW w:w="4896" w:type="dxa"/>
            <w:vAlign w:val="center"/>
          </w:tcPr>
          <w:p w14:paraId="7EF9087C">
            <w:pPr>
              <w:spacing w:line="240" w:lineRule="auto"/>
            </w:pPr>
            <w:r>
              <w:rPr>
                <w:color w:val="000000"/>
              </w:rPr>
              <w:t>5. Uncertainty</w:t>
            </w:r>
          </w:p>
        </w:tc>
        <w:tc>
          <w:tcPr>
            <w:tcW w:w="4896" w:type="dxa"/>
            <w:vAlign w:val="center"/>
          </w:tcPr>
          <w:p w14:paraId="1C139CE9">
            <w:pPr>
              <w:spacing w:line="240" w:lineRule="auto"/>
            </w:pPr>
            <w:r>
              <w:rPr>
                <w:color w:val="000000"/>
              </w:rPr>
              <w:t>Add MC Dropout and compare uncertainty with actual prediction errors.</w:t>
            </w:r>
          </w:p>
        </w:tc>
      </w:tr>
      <w:tr w14:paraId="7C93C788">
        <w:trPr>
          <w:jc w:val="center"/>
        </w:trPr>
        <w:tc>
          <w:tcPr>
            <w:tcW w:w="4896" w:type="dxa"/>
            <w:vAlign w:val="center"/>
          </w:tcPr>
          <w:p w14:paraId="49844300">
            <w:pPr>
              <w:spacing w:line="240" w:lineRule="auto"/>
            </w:pPr>
            <w:r>
              <w:rPr>
                <w:color w:val="000000"/>
              </w:rPr>
              <w:t>6. Distribution shift</w:t>
            </w:r>
          </w:p>
        </w:tc>
        <w:tc>
          <w:tcPr>
            <w:tcW w:w="4896" w:type="dxa"/>
            <w:vAlign w:val="center"/>
          </w:tcPr>
          <w:p w14:paraId="44D48FC2">
            <w:pPr>
              <w:spacing w:line="240" w:lineRule="auto"/>
            </w:pPr>
            <w:r>
              <w:rPr>
                <w:color w:val="000000"/>
              </w:rPr>
              <w:t>Test selected corruption types and severity levels from CIFAR-10-C.</w:t>
            </w:r>
          </w:p>
        </w:tc>
      </w:tr>
      <w:tr w14:paraId="35C45DFE">
        <w:trPr>
          <w:jc w:val="center"/>
        </w:trPr>
        <w:tc>
          <w:tcPr>
            <w:tcW w:w="4896" w:type="dxa"/>
            <w:vAlign w:val="center"/>
          </w:tcPr>
          <w:p w14:paraId="71468E83">
            <w:pPr>
              <w:spacing w:line="240" w:lineRule="auto"/>
            </w:pPr>
            <w:r>
              <w:rPr>
                <w:color w:val="000000"/>
              </w:rPr>
              <w:t>7. Reliability analysis</w:t>
            </w:r>
          </w:p>
        </w:tc>
        <w:tc>
          <w:tcPr>
            <w:tcW w:w="4896" w:type="dxa"/>
            <w:vAlign w:val="center"/>
          </w:tcPr>
          <w:p w14:paraId="5B1A6779">
            <w:pPr>
              <w:spacing w:line="240" w:lineRule="auto"/>
            </w:pPr>
            <w:r>
              <w:rPr>
                <w:color w:val="000000"/>
              </w:rPr>
              <w:t>Compare confidence/uncertainty scores against actual errors.</w:t>
            </w:r>
          </w:p>
        </w:tc>
      </w:tr>
      <w:tr w14:paraId="795D79ED">
        <w:trPr>
          <w:jc w:val="center"/>
        </w:trPr>
        <w:tc>
          <w:tcPr>
            <w:tcW w:w="4896" w:type="dxa"/>
            <w:vAlign w:val="center"/>
          </w:tcPr>
          <w:p w14:paraId="6CF39F6E">
            <w:pPr>
              <w:spacing w:line="240" w:lineRule="auto"/>
            </w:pPr>
            <w:r>
              <w:rPr>
                <w:color w:val="000000"/>
              </w:rPr>
              <w:t>8. Selective prediction</w:t>
            </w:r>
          </w:p>
        </w:tc>
        <w:tc>
          <w:tcPr>
            <w:tcW w:w="4896" w:type="dxa"/>
            <w:vAlign w:val="center"/>
          </w:tcPr>
          <w:p w14:paraId="641E03F4">
            <w:pPr>
              <w:spacing w:line="240" w:lineRule="auto"/>
            </w:pPr>
            <w:r>
              <w:rPr>
                <w:color w:val="000000"/>
              </w:rPr>
              <w:t>Set an abstention threshold using development data and study risk–coverage behaviour.</w:t>
            </w:r>
          </w:p>
        </w:tc>
      </w:tr>
      <w:tr w14:paraId="47CF6DA3">
        <w:trPr>
          <w:jc w:val="center"/>
        </w:trPr>
        <w:tc>
          <w:tcPr>
            <w:tcW w:w="4896" w:type="dxa"/>
            <w:vAlign w:val="center"/>
          </w:tcPr>
          <w:p w14:paraId="53070E5E">
            <w:pPr>
              <w:spacing w:line="240" w:lineRule="auto"/>
            </w:pPr>
            <w:r>
              <w:rPr>
                <w:color w:val="000000"/>
              </w:rPr>
              <w:t>9. Comparison</w:t>
            </w:r>
          </w:p>
        </w:tc>
        <w:tc>
          <w:tcPr>
            <w:tcW w:w="4896" w:type="dxa"/>
            <w:vAlign w:val="center"/>
          </w:tcPr>
          <w:p w14:paraId="690B0190">
            <w:pPr>
              <w:spacing w:line="240" w:lineRule="auto"/>
            </w:pPr>
            <w:r>
              <w:rPr>
                <w:color w:val="000000"/>
              </w:rPr>
              <w:t>Compare raw softmax, temperature scaling, MC Dropout and any complementary score.</w:t>
            </w:r>
          </w:p>
        </w:tc>
      </w:tr>
      <w:tr w14:paraId="1B53EF77">
        <w:trPr>
          <w:jc w:val="center"/>
        </w:trPr>
        <w:tc>
          <w:tcPr>
            <w:tcW w:w="4896" w:type="dxa"/>
            <w:vAlign w:val="center"/>
          </w:tcPr>
          <w:p w14:paraId="4C52C713">
            <w:pPr>
              <w:spacing w:line="240" w:lineRule="auto"/>
            </w:pPr>
            <w:r>
              <w:rPr>
                <w:color w:val="000000"/>
              </w:rPr>
              <w:t>10. Demonstrator</w:t>
            </w:r>
          </w:p>
        </w:tc>
        <w:tc>
          <w:tcPr>
            <w:tcW w:w="4896" w:type="dxa"/>
            <w:vAlign w:val="center"/>
          </w:tcPr>
          <w:p w14:paraId="48E04ABD">
            <w:pPr>
              <w:spacing w:line="240" w:lineRule="auto"/>
            </w:pPr>
            <w:r>
              <w:rPr>
                <w:color w:val="000000"/>
              </w:rPr>
              <w:t>If results are suitable, create a simple CLI or Streamlit demo showing prediction, reliability score and review/abstain decision.</w:t>
            </w:r>
          </w:p>
        </w:tc>
      </w:tr>
    </w:tbl>
    <w:p w14:paraId="77253AEA">
      <w:pPr>
        <w:pStyle w:val="3"/>
      </w:pPr>
      <w:r>
        <w:rPr>
          <w:color w:val="000000"/>
        </w:rPr>
        <w:t>Proposed Experiment Flow</w:t>
      </w:r>
    </w:p>
    <w:p w14:paraId="5598EEEE">
      <w:pPr>
        <w:jc w:val="center"/>
      </w:pPr>
      <w:r>
        <w:rPr>
          <w:b/>
          <w:color w:val="000000"/>
        </w:rPr>
        <w:t>CIFAR-10 → Baseline CNN → Confidence</w:t>
      </w:r>
      <w:r>
        <w:rPr>
          <w:b/>
          <w:color w:val="000000"/>
        </w:rPr>
        <w:br w:type="textWrapping"/>
      </w:r>
      <w:r>
        <w:rPr>
          <w:b/>
          <w:color w:val="000000"/>
        </w:rPr>
        <w:t>↓</w:t>
      </w:r>
      <w:r>
        <w:rPr>
          <w:b/>
          <w:color w:val="000000"/>
        </w:rPr>
        <w:br w:type="textWrapping"/>
      </w:r>
      <w:r>
        <w:rPr>
          <w:b/>
          <w:color w:val="000000"/>
        </w:rPr>
        <w:t>Calibration / Uncertainty Methods</w:t>
      </w:r>
      <w:r>
        <w:rPr>
          <w:b/>
          <w:color w:val="000000"/>
        </w:rPr>
        <w:br w:type="textWrapping"/>
      </w:r>
      <w:r>
        <w:rPr>
          <w:b/>
          <w:color w:val="000000"/>
        </w:rPr>
        <w:t>↓</w:t>
      </w:r>
      <w:r>
        <w:rPr>
          <w:b/>
          <w:color w:val="000000"/>
        </w:rPr>
        <w:br w:type="textWrapping"/>
      </w:r>
      <w:r>
        <w:rPr>
          <w:b/>
          <w:color w:val="000000"/>
        </w:rPr>
        <w:t>Clean Test + Controlled Shift (CIFAR-10-C)</w:t>
      </w:r>
      <w:r>
        <w:rPr>
          <w:b/>
          <w:color w:val="000000"/>
        </w:rPr>
        <w:br w:type="textWrapping"/>
      </w:r>
      <w:r>
        <w:rPr>
          <w:b/>
          <w:color w:val="000000"/>
        </w:rPr>
        <w:t>↓</w:t>
      </w:r>
      <w:r>
        <w:rPr>
          <w:b/>
          <w:color w:val="000000"/>
        </w:rPr>
        <w:br w:type="textWrapping"/>
      </w:r>
      <w:r>
        <w:rPr>
          <w:b/>
          <w:color w:val="000000"/>
        </w:rPr>
        <w:t>Error &amp; Reliability Analysis</w:t>
      </w:r>
      <w:r>
        <w:rPr>
          <w:b/>
          <w:color w:val="000000"/>
        </w:rPr>
        <w:br w:type="textWrapping"/>
      </w:r>
      <w:r>
        <w:rPr>
          <w:b/>
          <w:color w:val="000000"/>
        </w:rPr>
        <w:t>↓</w:t>
      </w:r>
      <w:r>
        <w:rPr>
          <w:b/>
          <w:color w:val="000000"/>
        </w:rPr>
        <w:br w:type="textWrapping"/>
      </w:r>
      <w:r>
        <w:rPr>
          <w:b/>
          <w:color w:val="000000"/>
        </w:rPr>
        <w:t>Risk–Coverage / Abstention</w:t>
      </w:r>
      <w:r>
        <w:rPr>
          <w:b/>
          <w:color w:val="000000"/>
        </w:rPr>
        <w:br w:type="textWrapping"/>
      </w:r>
      <w:r>
        <w:rPr>
          <w:b/>
          <w:color w:val="000000"/>
        </w:rPr>
        <w:t>↓</w:t>
      </w:r>
      <w:r>
        <w:rPr>
          <w:b/>
          <w:color w:val="000000"/>
        </w:rPr>
        <w:br w:type="textWrapping"/>
      </w:r>
      <w:r>
        <w:rPr>
          <w:b/>
          <w:color w:val="000000"/>
        </w:rPr>
        <w:t>Method Comparison</w:t>
      </w:r>
    </w:p>
    <w:p w14:paraId="0F5FFF35">
      <w:pPr>
        <w:pStyle w:val="2"/>
      </w:pPr>
      <w:r>
        <w:rPr>
          <w:color w:val="000000"/>
        </w:rPr>
        <w:t>10. Open Questions</w:t>
      </w:r>
    </w:p>
    <w:p w14:paraId="066724A6">
      <w:pPr>
        <w:pStyle w:val="23"/>
      </w:pPr>
      <w:r>
        <w:rPr>
          <w:color w:val="000000"/>
        </w:rPr>
        <w:t>Which corruption types and severity levels from CIFAR-10-C are most useful for the project?</w:t>
      </w:r>
    </w:p>
    <w:p w14:paraId="78F96A52">
      <w:pPr>
        <w:pStyle w:val="23"/>
      </w:pPr>
      <w:r>
        <w:rPr>
          <w:color w:val="000000"/>
        </w:rPr>
        <w:t>How many severity levels can be tested without making the experiment too large for the 2–3 week timeline?</w:t>
      </w:r>
    </w:p>
    <w:p w14:paraId="21C489DF">
      <w:pPr>
        <w:pStyle w:val="23"/>
      </w:pPr>
      <w:r>
        <w:rPr>
          <w:color w:val="000000"/>
        </w:rPr>
        <w:t>How much does temperature scaling improve calibration on clean data, and does that improvement remain under distribution shift?</w:t>
      </w:r>
    </w:p>
    <w:p w14:paraId="54A725DD">
      <w:pPr>
        <w:pStyle w:val="23"/>
      </w:pPr>
      <w:r>
        <w:rPr>
          <w:color w:val="000000"/>
        </w:rPr>
        <w:t>Does MC Dropout give a stronger relationship between uncertainty and actual errors than raw softmax confidence?</w:t>
      </w:r>
    </w:p>
    <w:p w14:paraId="4B1B25B5">
      <w:pPr>
        <w:pStyle w:val="23"/>
      </w:pPr>
      <w:r>
        <w:rPr>
          <w:color w:val="000000"/>
        </w:rPr>
        <w:t>Would a small deep ensemble give enough improvement to justify its additional computation?</w:t>
      </w:r>
    </w:p>
    <w:p w14:paraId="708DF991">
      <w:pPr>
        <w:pStyle w:val="23"/>
      </w:pPr>
      <w:r>
        <w:rPr>
          <w:color w:val="000000"/>
        </w:rPr>
        <w:t>How should the abstention threshold be selected using evidence rather than being chosen arbitrarily?</w:t>
      </w:r>
    </w:p>
    <w:p w14:paraId="225BF462">
      <w:pPr>
        <w:pStyle w:val="23"/>
      </w:pPr>
      <w:r>
        <w:rPr>
          <w:color w:val="000000"/>
        </w:rPr>
        <w:t>Would adding a conventional OOD dataset make the study stronger, or would it make the scope unnecessarily large?</w:t>
      </w:r>
    </w:p>
    <w:p w14:paraId="77179FDD">
      <w:pPr>
        <w:pStyle w:val="23"/>
      </w:pPr>
      <w:r>
        <w:rPr>
          <w:color w:val="000000"/>
        </w:rPr>
        <w:t>How should we define and measure a trustworthy prediction consistently throughout the experiments?</w:t>
      </w:r>
    </w:p>
    <w:p w14:paraId="662474F7">
      <w:pPr>
        <w:pStyle w:val="2"/>
      </w:pPr>
      <w:r>
        <w:rPr>
          <w:color w:val="000000"/>
        </w:rPr>
        <w:t>11. References</w:t>
      </w:r>
    </w:p>
    <w:p w14:paraId="5A14BFA9">
      <w:pPr>
        <w:pStyle w:val="29"/>
      </w:pPr>
      <w:r>
        <w:rPr>
          <w:color w:val="000000"/>
        </w:rPr>
        <w:t>Guo, C., Pleiss, G., Sun, Y., &amp; Weinberger, K. Q. (2017). On Calibration of Modern Neural Networks. Proceedings of the 34th International Conference on Machine Learning (ICML).</w:t>
      </w:r>
    </w:p>
    <w:p w14:paraId="1498F1A4">
      <w:pPr>
        <w:pStyle w:val="29"/>
      </w:pPr>
      <w:r>
        <w:rPr>
          <w:color w:val="000000"/>
        </w:rPr>
        <w:t>Gal, Y., &amp; Ghahramani, Z. (2016). Dropout as a Bayesian Approximation: Representing Model Uncertainty in Deep Learning. Proceedings of the 33rd International Conference on Machine Learning (ICML).</w:t>
      </w:r>
    </w:p>
    <w:p w14:paraId="79BB87DB">
      <w:pPr>
        <w:pStyle w:val="29"/>
      </w:pPr>
      <w:r>
        <w:rPr>
          <w:color w:val="000000"/>
        </w:rPr>
        <w:t>Lakshminarayanan, B., Pritzel, A., &amp; Blundell, C. (2017). Simple and Scalable Predictive Uncertainty Estimation using Deep Ensembles. Advances in Neural Information Processing Systems (NeurIPS).</w:t>
      </w:r>
    </w:p>
    <w:p w14:paraId="0BA0D50D">
      <w:pPr>
        <w:pStyle w:val="29"/>
      </w:pPr>
      <w:r>
        <w:rPr>
          <w:color w:val="000000"/>
        </w:rPr>
        <w:t>Hendrycks, D., &amp; Gimpel, K. (2017). A Baseline for Detecting Misclassified and Out-of-Distribution Examples in Neural Networks. International Conference on Learning Representations (ICLR).</w:t>
      </w:r>
    </w:p>
    <w:p w14:paraId="2F0482DC">
      <w:pPr>
        <w:pStyle w:val="29"/>
      </w:pPr>
      <w:r>
        <w:rPr>
          <w:color w:val="000000"/>
        </w:rPr>
        <w:t>Hendrycks, D., &amp; Dietterich, T. (2019). Benchmarking Neural Network Robustness to Common Corruptions and Perturbations. International Conference on Learning Representations (ICLR).</w:t>
      </w:r>
    </w:p>
    <w:p w14:paraId="0EF91B73">
      <w:pPr>
        <w:pStyle w:val="29"/>
      </w:pPr>
      <w:r>
        <w:rPr>
          <w:color w:val="000000"/>
        </w:rPr>
        <w:t>Ovadia, Y., Fertig, E., Ren, J., Nado, Z., Sculley, D., Nowozin, S., Dillon, J. V., Snoek, J., &amp; Lakshminarayanan, B. (2019). Can You Trust Your Model's Uncertainty? Evaluating Predictive Uncertainty Under Dataset Shift. Advances in Neural Information Processing Systems (NeurIPS).</w:t>
      </w:r>
    </w:p>
    <w:p w14:paraId="687308E7">
      <w:pPr>
        <w:pStyle w:val="29"/>
      </w:pPr>
      <w:r>
        <w:rPr>
          <w:color w:val="000000"/>
        </w:rPr>
        <w:t>Geifman, Y., &amp; El-Yaniv, R. (2017). Selective Classification for Deep Neural Networks. Advances in Neural Information Processing Systems (NeurIPS).</w:t>
      </w:r>
    </w:p>
    <w:p w14:paraId="1EA1BB8C">
      <w:pPr>
        <w:pStyle w:val="29"/>
      </w:pPr>
      <w:r>
        <w:rPr>
          <w:color w:val="000000"/>
        </w:rPr>
        <w:t>Krizhevsky, A. (2009). Learning Multiple Layers of Features from Tiny Images. University of Toronto.</w:t>
      </w: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B9CFC">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DE28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Madiredy Palvasha</cp:lastModifiedBy>
  <dcterms:modified xsi:type="dcterms:W3CDTF">2026-09-08T15:48:50Z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577375A77B8D9B520AE19F6A44EAD3D0_42</vt:lpwstr>
  </property>
</Properties>
</file>