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Part 1</w:t>
      </w:r>
    </w:p>
    <w:p w:rsidR="00000000" w:rsidDel="00000000" w:rsidP="00000000" w:rsidRDefault="00000000" w:rsidRPr="00000000" w14:paraId="00000002">
      <w:pPr>
        <w:rPr/>
      </w:pPr>
      <w:r w:rsidDel="00000000" w:rsidR="00000000" w:rsidRPr="00000000">
        <w:rPr>
          <w:rtl w:val="0"/>
        </w:rPr>
        <w:t xml:space="preserve">Demo:</w:t>
      </w:r>
    </w:p>
    <w:p w:rsidR="00000000" w:rsidDel="00000000" w:rsidP="00000000" w:rsidRDefault="00000000" w:rsidRPr="00000000" w14:paraId="00000003">
      <w:pPr>
        <w:numPr>
          <w:ilvl w:val="0"/>
          <w:numId w:val="3"/>
        </w:numPr>
        <w:ind w:left="720" w:hanging="360"/>
      </w:pPr>
      <w:r w:rsidDel="00000000" w:rsidR="00000000" w:rsidRPr="00000000">
        <w:rPr>
          <w:rtl w:val="0"/>
        </w:rPr>
        <w:t xml:space="preserve">Show setup</w:t>
      </w:r>
    </w:p>
    <w:p w:rsidR="00000000" w:rsidDel="00000000" w:rsidP="00000000" w:rsidRDefault="00000000" w:rsidRPr="00000000" w14:paraId="00000004">
      <w:pPr>
        <w:numPr>
          <w:ilvl w:val="1"/>
          <w:numId w:val="3"/>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npm install -g @moonraker/cli</w:t>
      </w:r>
    </w:p>
    <w:p w:rsidR="00000000" w:rsidDel="00000000" w:rsidP="00000000" w:rsidRDefault="00000000" w:rsidRPr="00000000" w14:paraId="00000005">
      <w:pPr>
        <w:numPr>
          <w:ilvl w:val="1"/>
          <w:numId w:val="3"/>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moonraker</w:t>
      </w:r>
    </w:p>
    <w:p w:rsidR="00000000" w:rsidDel="00000000" w:rsidP="00000000" w:rsidRDefault="00000000" w:rsidRPr="00000000" w14:paraId="00000006">
      <w:pPr>
        <w:numPr>
          <w:ilvl w:val="1"/>
          <w:numId w:val="3"/>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moonraker setup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Part 2</w:t>
      </w:r>
    </w:p>
    <w:p w:rsidR="00000000" w:rsidDel="00000000" w:rsidP="00000000" w:rsidRDefault="00000000" w:rsidRPr="00000000" w14:paraId="00000009">
      <w:pPr>
        <w:rPr/>
      </w:pPr>
      <w:r w:rsidDel="00000000" w:rsidR="00000000" w:rsidRPr="00000000">
        <w:rPr>
          <w:rtl w:val="0"/>
        </w:rPr>
        <w:t xml:space="preserve">Demo:</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Once we have moonraker installed, we can run it using the command `moonraker run`</w:t>
      </w:r>
    </w:p>
    <w:p w:rsidR="00000000" w:rsidDel="00000000" w:rsidP="00000000" w:rsidRDefault="00000000" w:rsidRPr="00000000" w14:paraId="0000000B">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C">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moonraker run</w:t>
      </w:r>
    </w:p>
    <w:p w:rsidR="00000000" w:rsidDel="00000000" w:rsidP="00000000" w:rsidRDefault="00000000" w:rsidRPr="00000000" w14:paraId="0000000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As soon as we see that it's up and running, we can check to see if the claims endpoint is working by checking the endpoint in a browser</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switch to browser /claims tab and refresh</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click collapse all</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As you can see, the API is running and exposing a JSON endpoint that delivers our claims, organized by installer</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You'll notice that we have 4 bundles that were installed by porter, 2 bundles that was installed by duffle, and 0 bundles installed by docker app</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The dashboard is served from the root of the domain</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close dev tools and navigate to the root</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Here you can see some default aggregations that give us an idea of the general state of our bundles, as well as a custom aggregation that shows the usage of Porter Mixins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From here, we can resize the tiles and move them around if we want to change how the information is displayed.</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resize and move tiles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When creating custom tiles for your organization, you will need to determine the smallest size each tile is allowed to be, as well as its default size when it's first loaded</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The layout of the dashboard is saved in the browser's local storage. If you ever want to start over, or get different colors, you can click the gear icon and select "Reset Layout" to restore the tiles to their default size and position</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The API checks the current state of all installed claims once every 5 seconds. If we were to install a new bundle, the dashboard would update automatically.</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Switch to terminal, duffle bundle window</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As an example, I will now install a bundle for a Wordpress site that uses a MySQL database using the Duffle installer. When building and installing a bundle, Duffle looks for a file called duffle.json, which you can see in this directory.</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Once we know we're in the right directory, we can build and install the bundle.</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duffle build .</w:t>
      </w:r>
    </w:p>
    <w:p w:rsidR="00000000" w:rsidDel="00000000" w:rsidP="00000000" w:rsidRDefault="00000000" w:rsidRPr="00000000" w14:paraId="0000002E">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duffle bundle list</w:t>
      </w:r>
    </w:p>
    <w:p w:rsidR="00000000" w:rsidDel="00000000" w:rsidP="00000000" w:rsidRDefault="00000000" w:rsidRPr="00000000" w14:paraId="0000002F">
      <w:pPr>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duffle install cloudserver cloudserver:0.1.1</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Now that the bundle was successfully built and installed, the dashboard will automatically find those changes, re-aggregate and re-render the data without any additional input from us.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