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228600</wp:posOffset>
            </wp:positionV>
            <wp:extent cx="1357603" cy="1309688"/>
            <wp:effectExtent b="0" l="0" r="0" t="0"/>
            <wp:wrapSquare wrapText="bothSides" distB="228600" distT="228600" distL="228600" distR="2286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603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Oxygen" w:cs="Oxygen" w:eastAsia="Oxygen" w:hAnsi="Oxygen"/>
          <w:sz w:val="72"/>
          <w:szCs w:val="72"/>
        </w:rPr>
      </w:pPr>
      <w:r w:rsidDel="00000000" w:rsidR="00000000" w:rsidRPr="00000000">
        <w:rPr>
          <w:rFonts w:ascii="Oxygen" w:cs="Oxygen" w:eastAsia="Oxygen" w:hAnsi="Oxygen"/>
          <w:sz w:val="72"/>
          <w:szCs w:val="72"/>
          <w:rtl w:val="0"/>
        </w:rPr>
        <w:t xml:space="preserve">More About CNAB</w:t>
      </w:r>
    </w:p>
    <w:p w:rsidR="00000000" w:rsidDel="00000000" w:rsidP="00000000" w:rsidRDefault="00000000" w:rsidRPr="00000000" w14:paraId="00000004">
      <w:pPr>
        <w:pStyle w:val="Subtitle"/>
        <w:rPr>
          <w:rFonts w:ascii="Oxygen" w:cs="Oxygen" w:eastAsia="Oxygen" w:hAnsi="Oxygen"/>
        </w:rPr>
      </w:pPr>
      <w:bookmarkStart w:colFirst="0" w:colLast="0" w:name="_qrshl22slfne" w:id="0"/>
      <w:bookmarkEnd w:id="0"/>
      <w:r w:rsidDel="00000000" w:rsidR="00000000" w:rsidRPr="00000000">
        <w:rPr>
          <w:rFonts w:ascii="Oxygen" w:cs="Oxygen" w:eastAsia="Oxygen" w:hAnsi="Oxygen"/>
          <w:rtl w:val="0"/>
        </w:rPr>
        <w:t xml:space="preserve">Team Moonraker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jc w:val="both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Definition</w:t>
      </w:r>
    </w:p>
    <w:p w:rsidR="00000000" w:rsidDel="00000000" w:rsidP="00000000" w:rsidRDefault="00000000" w:rsidRPr="00000000" w14:paraId="00000008">
      <w:pPr>
        <w:ind w:left="0" w:firstLine="0"/>
        <w:jc w:val="both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A </w:t>
      </w:r>
      <w:r w:rsidDel="00000000" w:rsidR="00000000" w:rsidRPr="00000000">
        <w:rPr>
          <w:rFonts w:ascii="Oxygen" w:cs="Oxygen" w:eastAsia="Oxygen" w:hAnsi="Oxygen"/>
          <w:rtl w:val="0"/>
        </w:rPr>
        <w:t xml:space="preserve">Cloud Native Application Bundle (CNAB) is an open source, cloud-agnostic specification for packaging and running distributed applications. It facilitates the bundling, installing and managing of </w:t>
      </w:r>
      <w:hyperlink r:id="rId7">
        <w:r w:rsidDel="00000000" w:rsidR="00000000" w:rsidRPr="00000000">
          <w:rPr>
            <w:rFonts w:ascii="Oxygen" w:cs="Oxygen" w:eastAsia="Oxygen" w:hAnsi="Oxygen"/>
            <w:rtl w:val="0"/>
          </w:rPr>
          <w:t xml:space="preserve">container</w:t>
        </w:r>
      </w:hyperlink>
      <w:r w:rsidDel="00000000" w:rsidR="00000000" w:rsidRPr="00000000">
        <w:rPr>
          <w:rFonts w:ascii="Oxygen" w:cs="Oxygen" w:eastAsia="Oxygen" w:hAnsi="Oxygen"/>
          <w:rtl w:val="0"/>
        </w:rPr>
        <w:t xml:space="preserve">-native apps and their dependent services. It describes a technology for bundling, installing, and managing distributed applications, that are by design, cloud agnostic.</w:t>
      </w:r>
    </w:p>
    <w:p w:rsidR="00000000" w:rsidDel="00000000" w:rsidP="00000000" w:rsidRDefault="00000000" w:rsidRPr="00000000" w14:paraId="00000009">
      <w:pPr>
        <w:ind w:left="0" w:firstLine="0"/>
        <w:jc w:val="both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jc w:val="both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 w14:paraId="0000000B">
      <w:pPr>
        <w:ind w:left="0" w:firstLine="0"/>
        <w:jc w:val="both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Modern applications are made up of a wide range of components and services — they can be comprised of multiple cloud resources, managed services, SaaS offerings, containers, configuration formats, functions, and more. CNAB pulls these disparate components together, providing a common packaging format for multiservice applications. These bundles can be developed, managed and shared (across a registry like Docker Hub) as one immutable composite unit without forcing any specific environment/clouds. (From article linked below)</w:t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What Is CNAB?</w:t>
            </w:r>
          </w:p>
          <w:p w:rsidR="00000000" w:rsidDel="00000000" w:rsidP="00000000" w:rsidRDefault="00000000" w:rsidRPr="00000000" w14:paraId="0000000F">
            <w:pPr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https://bit.ly/2DIN9fW</w:t>
            </w:r>
          </w:p>
          <w:p w:rsidR="00000000" w:rsidDel="00000000" w:rsidP="00000000" w:rsidRDefault="00000000" w:rsidRPr="00000000" w14:paraId="00000010">
            <w:pPr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</w:rPr>
              <w:drawing>
                <wp:inline distB="114300" distT="114300" distL="114300" distR="114300">
                  <wp:extent cx="1905000" cy="1905000"/>
                  <wp:effectExtent b="0" l="0" r="0" t="0"/>
                  <wp:docPr id="4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CNAB Official Website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https://cnab.io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</w:rPr>
              <w:drawing>
                <wp:inline distB="114300" distT="114300" distL="114300" distR="114300">
                  <wp:extent cx="2043113" cy="2043113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204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228600" distT="228600" distL="228600" distR="228600" hidden="0" layoutInCell="1" locked="0" relativeHeight="0" simplePos="0">
            <wp:simplePos x="0" y="0"/>
            <wp:positionH relativeFrom="column">
              <wp:posOffset>66676</wp:posOffset>
            </wp:positionH>
            <wp:positionV relativeFrom="paragraph">
              <wp:posOffset>228600</wp:posOffset>
            </wp:positionV>
            <wp:extent cx="1357603" cy="1309688"/>
            <wp:effectExtent b="0" l="0" r="0" t="0"/>
            <wp:wrapSquare wrapText="bothSides" distB="228600" distT="228600" distL="228600" distR="22860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57603" cy="130968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Oxygen" w:cs="Oxygen" w:eastAsia="Oxygen" w:hAnsi="Oxygen"/>
          <w:sz w:val="72"/>
          <w:szCs w:val="72"/>
        </w:rPr>
      </w:pPr>
      <w:r w:rsidDel="00000000" w:rsidR="00000000" w:rsidRPr="00000000">
        <w:rPr>
          <w:rFonts w:ascii="Oxygen" w:cs="Oxygen" w:eastAsia="Oxygen" w:hAnsi="Oxygen"/>
          <w:sz w:val="72"/>
          <w:szCs w:val="72"/>
          <w:rtl w:val="0"/>
        </w:rPr>
        <w:t xml:space="preserve">More About CNAB</w:t>
      </w:r>
    </w:p>
    <w:p w:rsidR="00000000" w:rsidDel="00000000" w:rsidP="00000000" w:rsidRDefault="00000000" w:rsidRPr="00000000" w14:paraId="0000001C">
      <w:pPr>
        <w:pStyle w:val="Subtitle"/>
        <w:rPr>
          <w:rFonts w:ascii="Oxygen" w:cs="Oxygen" w:eastAsia="Oxygen" w:hAnsi="Oxygen"/>
        </w:rPr>
      </w:pPr>
      <w:bookmarkStart w:colFirst="0" w:colLast="0" w:name="_ost2aeg2qwkl" w:id="1"/>
      <w:bookmarkEnd w:id="1"/>
      <w:r w:rsidDel="00000000" w:rsidR="00000000" w:rsidRPr="00000000">
        <w:rPr>
          <w:rFonts w:ascii="Oxygen" w:cs="Oxygen" w:eastAsia="Oxygen" w:hAnsi="Oxygen"/>
          <w:rtl w:val="0"/>
        </w:rPr>
        <w:t xml:space="preserve">Team Moonraker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Definition</w:t>
      </w:r>
    </w:p>
    <w:p w:rsidR="00000000" w:rsidDel="00000000" w:rsidP="00000000" w:rsidRDefault="00000000" w:rsidRPr="00000000" w14:paraId="00000020">
      <w:pPr>
        <w:jc w:val="both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A Cloud Native Application Bundle (CNAB) is an open source, cloud-agnostic specification for packaging and running distributed applications. It facilitates the bundling, installing and managing of </w:t>
      </w:r>
      <w:hyperlink r:id="rId10">
        <w:r w:rsidDel="00000000" w:rsidR="00000000" w:rsidRPr="00000000">
          <w:rPr>
            <w:rFonts w:ascii="Oxygen" w:cs="Oxygen" w:eastAsia="Oxygen" w:hAnsi="Oxygen"/>
            <w:rtl w:val="0"/>
          </w:rPr>
          <w:t xml:space="preserve">container</w:t>
        </w:r>
      </w:hyperlink>
      <w:r w:rsidDel="00000000" w:rsidR="00000000" w:rsidRPr="00000000">
        <w:rPr>
          <w:rFonts w:ascii="Oxygen" w:cs="Oxygen" w:eastAsia="Oxygen" w:hAnsi="Oxygen"/>
          <w:rtl w:val="0"/>
        </w:rPr>
        <w:t xml:space="preserve">-native apps and their dependent services. It describes a technology for bundling, installing, and managing distributed applications, that are by design, cloud agnostic.</w:t>
      </w:r>
    </w:p>
    <w:p w:rsidR="00000000" w:rsidDel="00000000" w:rsidP="00000000" w:rsidRDefault="00000000" w:rsidRPr="00000000" w14:paraId="00000021">
      <w:pPr>
        <w:jc w:val="both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Oxygen" w:cs="Oxygen" w:eastAsia="Oxygen" w:hAnsi="Oxygen"/>
          <w:sz w:val="36"/>
          <w:szCs w:val="36"/>
        </w:rPr>
      </w:pPr>
      <w:r w:rsidDel="00000000" w:rsidR="00000000" w:rsidRPr="00000000">
        <w:rPr>
          <w:rFonts w:ascii="Oxygen" w:cs="Oxygen" w:eastAsia="Oxygen" w:hAnsi="Oxygen"/>
          <w:sz w:val="36"/>
          <w:szCs w:val="36"/>
          <w:rtl w:val="0"/>
        </w:rPr>
        <w:t xml:space="preserve">Use case</w:t>
      </w:r>
    </w:p>
    <w:p w:rsidR="00000000" w:rsidDel="00000000" w:rsidP="00000000" w:rsidRDefault="00000000" w:rsidRPr="00000000" w14:paraId="00000023">
      <w:pPr>
        <w:jc w:val="both"/>
        <w:rPr>
          <w:rFonts w:ascii="Oxygen" w:cs="Oxygen" w:eastAsia="Oxygen" w:hAnsi="Oxygen"/>
        </w:rPr>
      </w:pPr>
      <w:r w:rsidDel="00000000" w:rsidR="00000000" w:rsidRPr="00000000">
        <w:rPr>
          <w:rFonts w:ascii="Oxygen" w:cs="Oxygen" w:eastAsia="Oxygen" w:hAnsi="Oxygen"/>
          <w:rtl w:val="0"/>
        </w:rPr>
        <w:t xml:space="preserve">Modern applications are made up of a wide range of components and services — they can be comprised of multiple cloud resources, managed services, SaaS offerings, containers, configuration formats, functions, and more. CNAB pulls these disparate components together, providing a common packaging format for multiservice applications. These bundles can be developed, managed and shared (across a registry like Docker Hub) as one immutable composite unit without forcing any specific environment/clouds. (From article linked below)</w:t>
      </w:r>
    </w:p>
    <w:p w:rsidR="00000000" w:rsidDel="00000000" w:rsidP="00000000" w:rsidRDefault="00000000" w:rsidRPr="00000000" w14:paraId="00000024">
      <w:pPr>
        <w:jc w:val="both"/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Oxygen" w:cs="Oxygen" w:eastAsia="Oxygen" w:hAnsi="Oxygen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What Is CNAB?</w:t>
            </w:r>
          </w:p>
          <w:p w:rsidR="00000000" w:rsidDel="00000000" w:rsidP="00000000" w:rsidRDefault="00000000" w:rsidRPr="00000000" w14:paraId="00000027">
            <w:pPr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https://bit.ly/2DIN9fW</w:t>
            </w:r>
          </w:p>
          <w:p w:rsidR="00000000" w:rsidDel="00000000" w:rsidP="00000000" w:rsidRDefault="00000000" w:rsidRPr="00000000" w14:paraId="00000028">
            <w:pPr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</w:rPr>
              <w:drawing>
                <wp:inline distB="114300" distT="114300" distL="114300" distR="114300">
                  <wp:extent cx="1905000" cy="1905000"/>
                  <wp:effectExtent b="0" l="0" r="0" t="0"/>
                  <wp:docPr id="2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9050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CNAB Official Website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  <w:b w:val="1"/>
              </w:rPr>
            </w:pPr>
            <w:r w:rsidDel="00000000" w:rsidR="00000000" w:rsidRPr="00000000">
              <w:rPr>
                <w:rFonts w:ascii="Oxygen" w:cs="Oxygen" w:eastAsia="Oxygen" w:hAnsi="Oxygen"/>
                <w:b w:val="1"/>
                <w:rtl w:val="0"/>
              </w:rPr>
              <w:t xml:space="preserve">https://cnab.io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Oxygen" w:cs="Oxygen" w:eastAsia="Oxygen" w:hAnsi="Oxygen"/>
              </w:rPr>
            </w:pPr>
            <w:r w:rsidDel="00000000" w:rsidR="00000000" w:rsidRPr="00000000">
              <w:rPr>
                <w:rFonts w:ascii="Oxygen" w:cs="Oxygen" w:eastAsia="Oxygen" w:hAnsi="Oxygen"/>
              </w:rPr>
              <w:drawing>
                <wp:inline distB="114300" distT="114300" distL="114300" distR="114300">
                  <wp:extent cx="2043113" cy="2043113"/>
                  <wp:effectExtent b="0" l="0" r="0" t="0"/>
                  <wp:docPr id="6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3113" cy="2043113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Oxygen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webopedia.com/TERM/C/container.html" TargetMode="Externa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www.webopedia.com/TERM/C/container.html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Oxygen-regular.ttf"/><Relationship Id="rId2" Type="http://schemas.openxmlformats.org/officeDocument/2006/relationships/font" Target="fonts/Oxygen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