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9555" w14:textId="0580DB98" w:rsidR="007A06A3" w:rsidRDefault="007A06A3" w:rsidP="007A06A3">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SUPPLEMENTAL MATERIALS</w:t>
      </w:r>
    </w:p>
    <w:p w14:paraId="71A9BE3C" w14:textId="77777777" w:rsidR="007A06A3" w:rsidRDefault="007A06A3" w:rsidP="007A06A3">
      <w:pPr>
        <w:spacing w:after="0"/>
        <w:rPr>
          <w:rFonts w:ascii="Times New Roman" w:eastAsia="Times New Roman" w:hAnsi="Times New Roman" w:cs="Times New Roman"/>
          <w:b/>
          <w:sz w:val="24"/>
          <w:szCs w:val="24"/>
        </w:rPr>
      </w:pPr>
    </w:p>
    <w:p w14:paraId="17F3F444"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Supplemental Material 1</w:t>
      </w:r>
      <w:r>
        <w:rPr>
          <w:rFonts w:ascii="Times New Roman" w:eastAsia="Times New Roman" w:hAnsi="Times New Roman" w:cs="Times New Roman"/>
          <w:sz w:val="24"/>
          <w:szCs w:val="24"/>
        </w:rPr>
        <w:t xml:space="preserve">. Summary information for 836 collections of wild and hatchery Brook Trout. Column abbreviations are as follows: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 number of samples,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 mean number of alleles per locus, </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 rarefied allelic richness,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vertAlign w:val="subscript"/>
        </w:rPr>
        <w:t>O</w:t>
      </w:r>
      <w:r>
        <w:rPr>
          <w:rFonts w:ascii="Times New Roman" w:eastAsia="Times New Roman" w:hAnsi="Times New Roman" w:cs="Times New Roman"/>
          <w:sz w:val="24"/>
          <w:szCs w:val="24"/>
        </w:rPr>
        <w:t xml:space="preserve"> - observed heterozygosity, </w:t>
      </w:r>
      <w:proofErr w:type="spellStart"/>
      <w:r>
        <w:rPr>
          <w:rFonts w:ascii="Times New Roman" w:eastAsia="Times New Roman" w:hAnsi="Times New Roman" w:cs="Times New Roman"/>
          <w:i/>
          <w:sz w:val="24"/>
          <w:szCs w:val="24"/>
        </w:rPr>
        <w:t>uH</w:t>
      </w:r>
      <w:r>
        <w:rPr>
          <w:rFonts w:ascii="Times New Roman" w:eastAsia="Times New Roman" w:hAnsi="Times New Roman" w:cs="Times New Roman"/>
          <w:sz w:val="24"/>
          <w:szCs w:val="24"/>
          <w:vertAlign w:val="subscript"/>
        </w:rPr>
        <w:t>e</w:t>
      </w:r>
      <w:proofErr w:type="spellEnd"/>
      <w:r>
        <w:rPr>
          <w:rFonts w:ascii="Times New Roman" w:eastAsia="Times New Roman" w:hAnsi="Times New Roman" w:cs="Times New Roman"/>
          <w:sz w:val="24"/>
          <w:szCs w:val="24"/>
        </w:rPr>
        <w:t xml:space="preserve"> - unbiased expected heterozygosity,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IS</w:t>
      </w:r>
      <w:r>
        <w:rPr>
          <w:rFonts w:ascii="Times New Roman" w:eastAsia="Times New Roman" w:hAnsi="Times New Roman" w:cs="Times New Roman"/>
          <w:sz w:val="24"/>
          <w:szCs w:val="24"/>
        </w:rPr>
        <w:t xml:space="preserve"> - inbreeding coefficient,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percentage of polymorphic loci,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vertAlign w:val="subscript"/>
        </w:rPr>
        <w:t>e</w:t>
      </w:r>
      <w:r>
        <w:rPr>
          <w:rFonts w:ascii="Times New Roman" w:eastAsia="Times New Roman" w:hAnsi="Times New Roman" w:cs="Times New Roman"/>
          <w:sz w:val="24"/>
          <w:szCs w:val="24"/>
        </w:rPr>
        <w:t xml:space="preserve"> - effective population size and 95% confidence interval, </w:t>
      </w:r>
      <w:r>
        <w:rPr>
          <w:rFonts w:ascii="Times New Roman" w:eastAsia="Times New Roman" w:hAnsi="Times New Roman" w:cs="Times New Roman"/>
          <w:i/>
          <w:sz w:val="24"/>
          <w:szCs w:val="24"/>
        </w:rPr>
        <w:t>HW</w:t>
      </w:r>
      <w:r>
        <w:rPr>
          <w:rFonts w:ascii="Times New Roman" w:eastAsia="Times New Roman" w:hAnsi="Times New Roman" w:cs="Times New Roman"/>
          <w:sz w:val="24"/>
          <w:szCs w:val="24"/>
        </w:rPr>
        <w:t xml:space="preserve"> - percentage of loci with statistically significant deviations from Hardy-Weinberg expectations, and </w:t>
      </w:r>
      <w:r>
        <w:rPr>
          <w:rFonts w:ascii="Times New Roman" w:eastAsia="Times New Roman" w:hAnsi="Times New Roman" w:cs="Times New Roman"/>
          <w:i/>
          <w:sz w:val="24"/>
          <w:szCs w:val="24"/>
        </w:rPr>
        <w:t>LD</w:t>
      </w:r>
      <w:r>
        <w:rPr>
          <w:rFonts w:ascii="Times New Roman" w:eastAsia="Times New Roman" w:hAnsi="Times New Roman" w:cs="Times New Roman"/>
          <w:sz w:val="24"/>
          <w:szCs w:val="24"/>
        </w:rPr>
        <w:t xml:space="preserve"> - percentage of loci pairs that show significant linkage disequilibrium.</w:t>
      </w:r>
    </w:p>
    <w:p w14:paraId="04EEA0E9" w14:textId="77777777" w:rsidR="007A06A3" w:rsidRDefault="007A06A3" w:rsidP="007A06A3">
      <w:pPr>
        <w:rPr>
          <w:rFonts w:ascii="Times New Roman" w:eastAsia="Times New Roman" w:hAnsi="Times New Roman" w:cs="Times New Roman"/>
          <w:sz w:val="24"/>
          <w:szCs w:val="24"/>
        </w:rPr>
      </w:pPr>
    </w:p>
    <w:p w14:paraId="519FB3B4" w14:textId="77777777" w:rsidR="007A06A3" w:rsidRDefault="007A06A3" w:rsidP="007A06A3">
      <w:pPr>
        <w:rPr>
          <w:rFonts w:ascii="Times New Roman" w:eastAsia="Times New Roman" w:hAnsi="Times New Roman" w:cs="Times New Roman"/>
          <w:sz w:val="24"/>
          <w:szCs w:val="24"/>
        </w:rPr>
      </w:pPr>
    </w:p>
    <w:p w14:paraId="76BDEEE8" w14:textId="1F161E61" w:rsidR="007A06A3" w:rsidRDefault="007A06A3" w:rsidP="007A06A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4F5">
        <w:rPr>
          <w:rFonts w:ascii="Times New Roman" w:eastAsia="Times New Roman" w:hAnsi="Times New Roman" w:cs="Times New Roman"/>
          <w:sz w:val="24"/>
          <w:szCs w:val="24"/>
        </w:rPr>
        <w:t>Provided</w:t>
      </w:r>
      <w:r>
        <w:rPr>
          <w:rFonts w:ascii="Times New Roman" w:eastAsia="Times New Roman" w:hAnsi="Times New Roman" w:cs="Times New Roman"/>
          <w:sz w:val="24"/>
          <w:szCs w:val="24"/>
        </w:rPr>
        <w:t xml:space="preserve"> as</w:t>
      </w:r>
      <w:r w:rsidR="00ED44F5">
        <w:rPr>
          <w:rFonts w:ascii="Times New Roman" w:eastAsia="Times New Roman" w:hAnsi="Times New Roman" w:cs="Times New Roman"/>
          <w:sz w:val="24"/>
          <w:szCs w:val="24"/>
        </w:rPr>
        <w:t xml:space="preserve"> separate</w:t>
      </w:r>
      <w:r>
        <w:rPr>
          <w:rFonts w:ascii="Times New Roman" w:eastAsia="Times New Roman" w:hAnsi="Times New Roman" w:cs="Times New Roman"/>
          <w:sz w:val="24"/>
          <w:szCs w:val="24"/>
        </w:rPr>
        <w:t xml:space="preserve"> .xlsx file]</w:t>
      </w:r>
      <w:r>
        <w:rPr>
          <w:rFonts w:ascii="Times New Roman" w:eastAsia="Times New Roman" w:hAnsi="Times New Roman" w:cs="Times New Roman"/>
          <w:sz w:val="24"/>
          <w:szCs w:val="24"/>
        </w:rPr>
        <w:br w:type="page"/>
      </w:r>
    </w:p>
    <w:p w14:paraId="6F833769"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Material 2</w:t>
      </w:r>
      <w:r>
        <w:rPr>
          <w:rFonts w:ascii="Times New Roman" w:eastAsia="Times New Roman" w:hAnsi="Times New Roman" w:cs="Times New Roman"/>
          <w:sz w:val="24"/>
          <w:szCs w:val="24"/>
        </w:rPr>
        <w:t>. Bayesian Information Criterion (BIC) scores from DAPC models with a range of assumed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 to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200).</w:t>
      </w:r>
      <w:r>
        <w:rPr>
          <w:rFonts w:ascii="Times New Roman" w:eastAsia="Times New Roman" w:hAnsi="Times New Roman" w:cs="Times New Roman"/>
          <w:noProof/>
          <w:sz w:val="24"/>
          <w:szCs w:val="24"/>
          <w:lang w:val="en-IN" w:eastAsia="en-IN"/>
        </w:rPr>
        <w:drawing>
          <wp:inline distT="114300" distB="114300" distL="114300" distR="114300" wp14:anchorId="4567C498" wp14:editId="38EDC6D2">
            <wp:extent cx="5943600" cy="7229475"/>
            <wp:effectExtent l="0" t="0" r="0" b="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t="6063"/>
                    <a:stretch>
                      <a:fillRect/>
                    </a:stretch>
                  </pic:blipFill>
                  <pic:spPr>
                    <a:xfrm>
                      <a:off x="0" y="0"/>
                      <a:ext cx="5943600" cy="7229475"/>
                    </a:xfrm>
                    <a:prstGeom prst="rect">
                      <a:avLst/>
                    </a:prstGeom>
                    <a:ln/>
                  </pic:spPr>
                </pic:pic>
              </a:graphicData>
            </a:graphic>
          </wp:inline>
        </w:drawing>
      </w:r>
    </w:p>
    <w:p w14:paraId="17F19E2C" w14:textId="77777777" w:rsidR="007A06A3" w:rsidRDefault="007A06A3" w:rsidP="007A06A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4DCE89" w14:textId="77777777" w:rsidR="007A06A3" w:rsidRDefault="007A06A3" w:rsidP="007A06A3">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Supplemental Material 3. STRUCTURE Analyses</w:t>
      </w:r>
    </w:p>
    <w:p w14:paraId="62F91B5C" w14:textId="77777777" w:rsidR="007A06A3" w:rsidRDefault="007A06A3" w:rsidP="007A06A3">
      <w:pPr>
        <w:spacing w:after="0" w:line="276" w:lineRule="auto"/>
        <w:rPr>
          <w:rFonts w:ascii="Times New Roman" w:eastAsia="Times New Roman" w:hAnsi="Times New Roman" w:cs="Times New Roman"/>
          <w:b/>
          <w:sz w:val="24"/>
          <w:szCs w:val="24"/>
        </w:rPr>
      </w:pPr>
    </w:p>
    <w:p w14:paraId="099B7E1A"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examine population structure, we applied an individual-based statistical approach implemented in STRUCTURE v. 2.3.4 (Pritchard et al. 2000) to infer clusters of genetically distinct populations and to assign individuals to clusters. We used the admixture ancestry model with correlated allele frequencies. The best-supported number of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was assessed based on the highest value of Ln </w:t>
      </w:r>
      <w:proofErr w:type="spellStart"/>
      <w:r>
        <w:rPr>
          <w:rFonts w:ascii="Times New Roman" w:eastAsia="Times New Roman" w:hAnsi="Times New Roman" w:cs="Times New Roman"/>
          <w:i/>
          <w:sz w:val="24"/>
          <w:szCs w:val="24"/>
        </w:rPr>
        <w:t>Pr</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and the Δ</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method of </w:t>
      </w:r>
      <w:proofErr w:type="spellStart"/>
      <w:r>
        <w:rPr>
          <w:rFonts w:ascii="Times New Roman" w:eastAsia="Times New Roman" w:hAnsi="Times New Roman" w:cs="Times New Roman"/>
          <w:sz w:val="24"/>
          <w:szCs w:val="24"/>
        </w:rPr>
        <w:t>Evanno</w:t>
      </w:r>
      <w:proofErr w:type="spellEnd"/>
      <w:r>
        <w:rPr>
          <w:rFonts w:ascii="Times New Roman" w:eastAsia="Times New Roman" w:hAnsi="Times New Roman" w:cs="Times New Roman"/>
          <w:sz w:val="24"/>
          <w:szCs w:val="24"/>
        </w:rPr>
        <w:t xml:space="preserve"> et al. (2005) with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1–25 and with 10 independent runs for each value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All runs consisted of a burn-in of 50,000 steps, followed by 100,000 Markov chain Monte Carlo iterations. We performed STRUCTURE analysis twice, the first time with the full dataset of 21,998 individuals from 836 collections. To address possible issues posed by uneven sample size (</w:t>
      </w:r>
      <w:proofErr w:type="spellStart"/>
      <w:r>
        <w:rPr>
          <w:rFonts w:ascii="Times New Roman" w:eastAsia="Times New Roman" w:hAnsi="Times New Roman" w:cs="Times New Roman"/>
          <w:sz w:val="24"/>
          <w:szCs w:val="24"/>
        </w:rPr>
        <w:t>Puechmaille</w:t>
      </w:r>
      <w:proofErr w:type="spellEnd"/>
      <w:r>
        <w:rPr>
          <w:rFonts w:ascii="Times New Roman" w:eastAsia="Times New Roman" w:hAnsi="Times New Roman" w:cs="Times New Roman"/>
          <w:sz w:val="24"/>
          <w:szCs w:val="24"/>
        </w:rPr>
        <w:t xml:space="preserve"> 2016), data from collections with fewer than 20 individuals were removed, and we repeated STRUCTURE analysis using data from 20,220 individuals from 665 collections. Since this analysis yielded higher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X|K</w:t>
      </w:r>
      <w:r>
        <w:rPr>
          <w:rFonts w:ascii="Times New Roman" w:eastAsia="Times New Roman" w:hAnsi="Times New Roman" w:cs="Times New Roman"/>
          <w:sz w:val="24"/>
          <w:szCs w:val="24"/>
        </w:rPr>
        <w:t>) values and lower variances, those results are reported here.</w:t>
      </w:r>
    </w:p>
    <w:p w14:paraId="2D417194"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AF1534" w14:textId="0DD0CD7D"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Bayesian analysis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for different presumed numbers of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1–25 showed log likelihoods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increasing with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but with variances tending to increase (Supplemental </w:t>
      </w:r>
      <w:r w:rsidR="00B56519">
        <w:rPr>
          <w:rFonts w:ascii="Times New Roman" w:eastAsia="Times New Roman" w:hAnsi="Times New Roman" w:cs="Times New Roman"/>
          <w:sz w:val="24"/>
          <w:szCs w:val="24"/>
        </w:rPr>
        <w:t>Table</w:t>
      </w:r>
      <w:r>
        <w:rPr>
          <w:rFonts w:ascii="Times New Roman" w:eastAsia="Times New Roman" w:hAnsi="Times New Roman" w:cs="Times New Roman"/>
          <w:sz w:val="24"/>
          <w:szCs w:val="24"/>
        </w:rPr>
        <w:t xml:space="preserve"> </w:t>
      </w:r>
      <w:r w:rsidR="00B56519">
        <w:rPr>
          <w:rFonts w:ascii="Times New Roman" w:eastAsia="Times New Roman" w:hAnsi="Times New Roman" w:cs="Times New Roman"/>
          <w:sz w:val="24"/>
          <w:szCs w:val="24"/>
        </w:rPr>
        <w:t>3.1</w:t>
      </w:r>
      <w:r>
        <w:rPr>
          <w:rFonts w:ascii="Times New Roman" w:eastAsia="Times New Roman" w:hAnsi="Times New Roman" w:cs="Times New Roman"/>
          <w:sz w:val="24"/>
          <w:szCs w:val="24"/>
        </w:rPr>
        <w:t>), a result typical of such analyses (</w:t>
      </w:r>
      <w:proofErr w:type="spellStart"/>
      <w:r>
        <w:rPr>
          <w:rFonts w:ascii="Times New Roman" w:eastAsia="Times New Roman" w:hAnsi="Times New Roman" w:cs="Times New Roman"/>
          <w:sz w:val="24"/>
          <w:szCs w:val="24"/>
        </w:rPr>
        <w:t>Puechmaille</w:t>
      </w:r>
      <w:proofErr w:type="spellEnd"/>
      <w:r>
        <w:rPr>
          <w:rFonts w:ascii="Times New Roman" w:eastAsia="Times New Roman" w:hAnsi="Times New Roman" w:cs="Times New Roman"/>
          <w:sz w:val="24"/>
          <w:szCs w:val="24"/>
        </w:rPr>
        <w:t xml:space="preserve"> 2016). Using the criterion of highest likelihood of the data given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(Pritchard et al. 2000), successively higher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values were better supported. Using the Δ</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criterion of </w:t>
      </w:r>
      <w:proofErr w:type="spellStart"/>
      <w:r>
        <w:rPr>
          <w:rFonts w:ascii="Times New Roman" w:eastAsia="Times New Roman" w:hAnsi="Times New Roman" w:cs="Times New Roman"/>
          <w:sz w:val="24"/>
          <w:szCs w:val="24"/>
        </w:rPr>
        <w:t>Evanno</w:t>
      </w:r>
      <w:proofErr w:type="spellEnd"/>
      <w:r>
        <w:rPr>
          <w:rFonts w:ascii="Times New Roman" w:eastAsia="Times New Roman" w:hAnsi="Times New Roman" w:cs="Times New Roman"/>
          <w:sz w:val="24"/>
          <w:szCs w:val="24"/>
        </w:rPr>
        <w:t xml:space="preserve"> et al. (2005), an approach that is best suited for inferring higher-order levels of differentiation,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was best supported.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A), one of the two clusters, shown in green, was distributed throughout much of the southern portion of the species’ range, and would presumably represent what has been traditionally referred to as southern Appalachian Brook </w:t>
      </w:r>
      <w:r>
        <w:rPr>
          <w:rFonts w:ascii="Times New Roman" w:eastAsia="Times New Roman" w:hAnsi="Times New Roman" w:cs="Times New Roman"/>
          <w:sz w:val="24"/>
          <w:szCs w:val="24"/>
        </w:rPr>
        <w:lastRenderedPageBreak/>
        <w:t xml:space="preserve">Trout. Contributions from this cluster were distributed not only to the southwest of the New River drainage, but also farther north on the west side of the Eastern Continental Drainage Divide in West Virginia, with smaller contributions in Pennsylvania, southwestern New York, and Ohio.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all the hatchery populations showed high levels of assignment to the northern lineage of Brook Trout. In contrast, the Brook Trout propagation facility at Tellico (Tennessee), which is dedicated to restoration of southern Appalachian Brook Trout using the progeny of wild fish, showed high assignment to the southern lineage. Further, likely biologically meaningful substructure was observed at higher values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3, populations in the Pigeon River watershed of North Carolina were clustered separately from other Brook Trout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4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B), a northern cluster of populations (shown in magenta) was distinguished from a central Appalachian cluster (green) and a southern Appalachian cluster (blue). Several West Virginia and Blue Ridge Mountain, Virginia, populations clustered with the Pigeon River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6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C), a new cluster of 21 populations in central Virginia was separated, most but not all on the east side of the Blue Ridge Mountains in the Rapidan and Rappahannock river basins.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4, the hatchery stocks were predominated by northern lineages, with small, varying contributions from the mid-Appalachian lineage, with only the Big Hill Pond stock exhibiting a predominance of the mid-Appalachian lineage.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5, the compositions of northern-lineage hatchery stocks varied little (Supplemental Figure </w:t>
      </w:r>
      <w:r w:rsidR="00B56519">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D). </w:t>
      </w:r>
    </w:p>
    <w:p w14:paraId="51CD4EF2" w14:textId="77777777" w:rsidR="007A06A3" w:rsidRDefault="007A06A3" w:rsidP="007A06A3">
      <w:pPr>
        <w:spacing w:after="0" w:line="480" w:lineRule="auto"/>
        <w:rPr>
          <w:rFonts w:ascii="Times New Roman" w:eastAsia="Times New Roman" w:hAnsi="Times New Roman" w:cs="Times New Roman"/>
          <w:sz w:val="24"/>
          <w:szCs w:val="24"/>
        </w:rPr>
      </w:pPr>
    </w:p>
    <w:p w14:paraId="4C5A78B3"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was also a signature of apparent introgression of the northern Brook Trout lineage into some southern Brook Trout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10, northern Brook Trout comprised three apparently native clusters, plus the Virginia Blue Ridge cluster; southern populations comprised </w:t>
      </w:r>
      <w:r>
        <w:rPr>
          <w:rFonts w:ascii="Times New Roman" w:eastAsia="Times New Roman" w:hAnsi="Times New Roman" w:cs="Times New Roman"/>
          <w:sz w:val="24"/>
          <w:szCs w:val="24"/>
        </w:rPr>
        <w:lastRenderedPageBreak/>
        <w:t xml:space="preserve">six clusters that tend to fall within HUC8 watersheds.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 some geographic structure in the north corresponded to HUC2 watershed and some to smaller units. For example, particular clusters occurred in the Acadian region of Maine, New Hampshire, eastern Vermont, and Massachusetts. Another cluster occurred in the Susquehanna watershed. An additional cluster was associated with coastal drainages in New Hampshire, Massachusetts, and coastal New York; this cluster also was well represented in nine hatchery strains, with representation presumably from these hatchery strains apparent in populations in other non-contiguous regions. </w:t>
      </w:r>
    </w:p>
    <w:p w14:paraId="45D53C40" w14:textId="77777777" w:rsidR="007A06A3" w:rsidRDefault="007A06A3" w:rsidP="007A06A3">
      <w:pPr>
        <w:spacing w:after="0" w:line="480" w:lineRule="auto"/>
        <w:ind w:firstLine="720"/>
        <w:rPr>
          <w:rFonts w:ascii="Times New Roman" w:eastAsia="Times New Roman" w:hAnsi="Times New Roman" w:cs="Times New Roman"/>
          <w:sz w:val="24"/>
          <w:szCs w:val="24"/>
        </w:rPr>
      </w:pPr>
    </w:p>
    <w:p w14:paraId="20753932" w14:textId="77777777" w:rsidR="007A06A3" w:rsidRDefault="007A06A3" w:rsidP="007A06A3">
      <w:pPr>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Another cluster corresponded to the Potomac drainage. In the south, the geographic distributions of clusters were more fine-grained, pertaining to HUC6 or smaller units. The HUC6 New River drainage had a cluster. North Carolina, Tennessee, and more southwesterly clusters tended to align with HUC8 watersheds.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25, a Great Lakes cluster included populations in Wisconsin and the Adirondacks region of upstate New York. Other clusters were generally similar to those observed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 The southern part of the range was more finely divided, with many clusters aligning with HUC8 watersheds. With such fine distinctions among clusters, the effect of stocking hatchery fish was apparent in some populations. For example, the Wisconsin and upstate New York populations showed a signature of stocking hatchery fish derived from a coastal Acadian ancestry. Additional clustering results can be viewed using the interactive web-based viewer.</w:t>
      </w:r>
    </w:p>
    <w:p w14:paraId="4C1FF3C0" w14:textId="1D9E7834" w:rsidR="007A06A3" w:rsidRDefault="007A06A3" w:rsidP="007A06A3">
      <w:pPr>
        <w:spacing w:after="0"/>
        <w:rPr>
          <w:rFonts w:ascii="Times New Roman" w:eastAsia="Times New Roman" w:hAnsi="Times New Roman" w:cs="Times New Roman"/>
          <w:sz w:val="24"/>
          <w:szCs w:val="24"/>
        </w:rPr>
      </w:pPr>
    </w:p>
    <w:p w14:paraId="63762CB1" w14:textId="479D7F48" w:rsidR="00B56519" w:rsidRDefault="00B56519" w:rsidP="007A06A3">
      <w:pPr>
        <w:spacing w:after="0"/>
        <w:rPr>
          <w:rFonts w:ascii="Times New Roman" w:eastAsia="Times New Roman" w:hAnsi="Times New Roman" w:cs="Times New Roman"/>
          <w:sz w:val="24"/>
          <w:szCs w:val="24"/>
        </w:rPr>
      </w:pPr>
    </w:p>
    <w:p w14:paraId="0028C61A" w14:textId="374477DC" w:rsidR="00B56519" w:rsidRDefault="00B56519" w:rsidP="007A06A3">
      <w:pPr>
        <w:spacing w:after="0"/>
        <w:rPr>
          <w:rFonts w:ascii="Times New Roman" w:eastAsia="Times New Roman" w:hAnsi="Times New Roman" w:cs="Times New Roman"/>
          <w:sz w:val="24"/>
          <w:szCs w:val="24"/>
        </w:rPr>
      </w:pPr>
    </w:p>
    <w:p w14:paraId="58B71767" w14:textId="0309A28A" w:rsidR="00B56519" w:rsidRDefault="00B56519" w:rsidP="007A06A3">
      <w:pPr>
        <w:spacing w:after="0"/>
        <w:rPr>
          <w:rFonts w:ascii="Times New Roman" w:eastAsia="Times New Roman" w:hAnsi="Times New Roman" w:cs="Times New Roman"/>
          <w:sz w:val="24"/>
          <w:szCs w:val="24"/>
        </w:rPr>
      </w:pPr>
    </w:p>
    <w:p w14:paraId="23AD2CA0" w14:textId="4595BB36" w:rsidR="00B56519" w:rsidRDefault="00B56519" w:rsidP="007A06A3">
      <w:pPr>
        <w:spacing w:after="0"/>
        <w:rPr>
          <w:rFonts w:ascii="Times New Roman" w:eastAsia="Times New Roman" w:hAnsi="Times New Roman" w:cs="Times New Roman"/>
          <w:sz w:val="24"/>
          <w:szCs w:val="24"/>
        </w:rPr>
      </w:pPr>
    </w:p>
    <w:p w14:paraId="1C3BE33B" w14:textId="40891564" w:rsidR="00B56519" w:rsidRDefault="00B56519" w:rsidP="007A06A3">
      <w:pPr>
        <w:spacing w:after="0"/>
        <w:rPr>
          <w:rFonts w:ascii="Times New Roman" w:eastAsia="Times New Roman" w:hAnsi="Times New Roman" w:cs="Times New Roman"/>
          <w:sz w:val="24"/>
          <w:szCs w:val="24"/>
        </w:rPr>
      </w:pPr>
    </w:p>
    <w:p w14:paraId="660677B1" w14:textId="212A9D64" w:rsidR="00B56519" w:rsidRDefault="00B56519" w:rsidP="007A06A3">
      <w:pPr>
        <w:spacing w:after="0"/>
        <w:rPr>
          <w:rFonts w:ascii="Times New Roman" w:eastAsia="Times New Roman" w:hAnsi="Times New Roman" w:cs="Times New Roman"/>
          <w:sz w:val="24"/>
          <w:szCs w:val="24"/>
        </w:rPr>
      </w:pPr>
    </w:p>
    <w:p w14:paraId="36D3C976" w14:textId="75E49007" w:rsidR="00B56519" w:rsidRDefault="00B56519" w:rsidP="007A06A3">
      <w:pPr>
        <w:spacing w:after="0"/>
        <w:rPr>
          <w:rFonts w:ascii="Times New Roman" w:eastAsia="Times New Roman" w:hAnsi="Times New Roman" w:cs="Times New Roman"/>
          <w:sz w:val="24"/>
          <w:szCs w:val="24"/>
        </w:rPr>
      </w:pPr>
    </w:p>
    <w:p w14:paraId="407843AC" w14:textId="3BEEC986" w:rsidR="00B56519" w:rsidRDefault="00B56519" w:rsidP="00B56519">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Table 3.1</w:t>
      </w:r>
      <w:r>
        <w:rPr>
          <w:rFonts w:ascii="Times New Roman" w:eastAsia="Times New Roman" w:hAnsi="Times New Roman" w:cs="Times New Roman"/>
          <w:sz w:val="24"/>
          <w:szCs w:val="24"/>
        </w:rPr>
        <w:t xml:space="preserve">. Results of STRUCTURE Bayesian cluster analysis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at 13 microsatellite loci in Brook Trout populations.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log probability of the data given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a set number of clusters. Results presented are the mean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from five iterations. The full dataset included 21,998 individuals in 836 populations; the reduced dataset included 20,220 individuals in 665 populations. Each run was performed with a burn-in of 10,000 and 100,000 MCMC cycles.</w:t>
      </w:r>
    </w:p>
    <w:p w14:paraId="60C8FE4A" w14:textId="77777777"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D050CD" w14:textId="77777777" w:rsidR="00B56519" w:rsidRDefault="00B56519" w:rsidP="00B56519">
      <w:pPr>
        <w:spacing w:after="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bl>
      <w:tblPr>
        <w:tblW w:w="62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95"/>
        <w:gridCol w:w="1440"/>
        <w:gridCol w:w="1425"/>
        <w:gridCol w:w="1440"/>
        <w:gridCol w:w="1425"/>
      </w:tblGrid>
      <w:tr w:rsidR="00B56519" w14:paraId="079A2F26" w14:textId="77777777" w:rsidTr="0032797E">
        <w:trPr>
          <w:trHeight w:val="20"/>
        </w:trPr>
        <w:tc>
          <w:tcPr>
            <w:tcW w:w="495" w:type="dxa"/>
            <w:tcBorders>
              <w:top w:val="single" w:sz="4" w:space="0" w:color="000000"/>
              <w:left w:val="nil"/>
              <w:bottom w:val="nil"/>
              <w:right w:val="nil"/>
            </w:tcBorders>
            <w:tcMar>
              <w:top w:w="100" w:type="dxa"/>
              <w:left w:w="100" w:type="dxa"/>
              <w:bottom w:w="100" w:type="dxa"/>
              <w:right w:w="100" w:type="dxa"/>
            </w:tcMar>
          </w:tcPr>
          <w:p w14:paraId="67B87BDF" w14:textId="77777777" w:rsidR="00B56519" w:rsidRDefault="00B56519" w:rsidP="0032797E">
            <w:pPr>
              <w:spacing w:after="0" w:line="276" w:lineRule="auto"/>
              <w:rPr>
                <w:rFonts w:ascii="Times New Roman" w:eastAsia="Times New Roman" w:hAnsi="Times New Roman" w:cs="Times New Roman"/>
                <w:i/>
                <w:sz w:val="24"/>
                <w:szCs w:val="24"/>
              </w:rPr>
            </w:pPr>
          </w:p>
        </w:tc>
        <w:tc>
          <w:tcPr>
            <w:tcW w:w="2865" w:type="dxa"/>
            <w:gridSpan w:val="2"/>
            <w:tcBorders>
              <w:top w:val="single" w:sz="4" w:space="0" w:color="000000"/>
              <w:left w:val="nil"/>
              <w:bottom w:val="nil"/>
              <w:right w:val="nil"/>
            </w:tcBorders>
            <w:tcMar>
              <w:top w:w="100" w:type="dxa"/>
              <w:left w:w="100" w:type="dxa"/>
              <w:bottom w:w="100" w:type="dxa"/>
              <w:right w:w="100" w:type="dxa"/>
            </w:tcMar>
          </w:tcPr>
          <w:p w14:paraId="2B750B1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dataset</w:t>
            </w:r>
          </w:p>
        </w:tc>
        <w:tc>
          <w:tcPr>
            <w:tcW w:w="2865" w:type="dxa"/>
            <w:gridSpan w:val="2"/>
            <w:tcBorders>
              <w:top w:val="single" w:sz="4" w:space="0" w:color="000000"/>
              <w:left w:val="nil"/>
              <w:bottom w:val="nil"/>
              <w:right w:val="nil"/>
            </w:tcBorders>
            <w:tcMar>
              <w:top w:w="100" w:type="dxa"/>
              <w:left w:w="100" w:type="dxa"/>
              <w:bottom w:w="100" w:type="dxa"/>
              <w:right w:w="100" w:type="dxa"/>
            </w:tcMar>
          </w:tcPr>
          <w:p w14:paraId="4436DBC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Reduced dataset</w:t>
            </w:r>
          </w:p>
        </w:tc>
      </w:tr>
      <w:tr w:rsidR="00B56519" w14:paraId="1DA055DB" w14:textId="77777777" w:rsidTr="0032797E">
        <w:trPr>
          <w:trHeight w:val="20"/>
        </w:trPr>
        <w:tc>
          <w:tcPr>
            <w:tcW w:w="495" w:type="dxa"/>
            <w:tcBorders>
              <w:top w:val="nil"/>
              <w:left w:val="nil"/>
              <w:bottom w:val="single" w:sz="4" w:space="0" w:color="000000"/>
              <w:right w:val="nil"/>
            </w:tcBorders>
            <w:tcMar>
              <w:top w:w="100" w:type="dxa"/>
              <w:left w:w="100" w:type="dxa"/>
              <w:bottom w:w="100" w:type="dxa"/>
              <w:right w:w="100" w:type="dxa"/>
            </w:tcMar>
          </w:tcPr>
          <w:p w14:paraId="410F6DB7" w14:textId="77777777" w:rsidR="00B56519" w:rsidRDefault="00B56519" w:rsidP="0032797E">
            <w:pPr>
              <w:spacing w:after="0" w:line="276"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K</w:t>
            </w:r>
          </w:p>
        </w:tc>
        <w:tc>
          <w:tcPr>
            <w:tcW w:w="1440" w:type="dxa"/>
            <w:tcBorders>
              <w:top w:val="nil"/>
              <w:left w:val="nil"/>
              <w:bottom w:val="single" w:sz="4" w:space="0" w:color="000000"/>
              <w:right w:val="nil"/>
            </w:tcBorders>
            <w:tcMar>
              <w:top w:w="100" w:type="dxa"/>
              <w:left w:w="100" w:type="dxa"/>
              <w:bottom w:w="100" w:type="dxa"/>
              <w:right w:w="100" w:type="dxa"/>
            </w:tcMar>
          </w:tcPr>
          <w:p w14:paraId="07F0E611" w14:textId="77777777" w:rsidR="00B56519" w:rsidRDefault="00B56519" w:rsidP="0032797E">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25" w:type="dxa"/>
            <w:tcBorders>
              <w:top w:val="nil"/>
              <w:left w:val="nil"/>
              <w:bottom w:val="single" w:sz="4" w:space="0" w:color="000000"/>
              <w:right w:val="nil"/>
            </w:tcBorders>
            <w:tcMar>
              <w:top w:w="100" w:type="dxa"/>
              <w:left w:w="100" w:type="dxa"/>
              <w:bottom w:w="100" w:type="dxa"/>
              <w:right w:w="100" w:type="dxa"/>
            </w:tcMar>
          </w:tcPr>
          <w:p w14:paraId="3FB6D2D2" w14:textId="77777777" w:rsidR="00B56519" w:rsidRDefault="00B56519" w:rsidP="0032797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40" w:type="dxa"/>
            <w:tcBorders>
              <w:top w:val="nil"/>
              <w:left w:val="nil"/>
              <w:bottom w:val="single" w:sz="4" w:space="0" w:color="000000"/>
              <w:right w:val="nil"/>
            </w:tcBorders>
            <w:tcMar>
              <w:top w:w="100" w:type="dxa"/>
              <w:left w:w="100" w:type="dxa"/>
              <w:bottom w:w="100" w:type="dxa"/>
              <w:right w:w="100" w:type="dxa"/>
            </w:tcMar>
          </w:tcPr>
          <w:p w14:paraId="63C2A86A" w14:textId="77777777" w:rsidR="00B56519" w:rsidRDefault="00B56519" w:rsidP="0032797E">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25" w:type="dxa"/>
            <w:tcBorders>
              <w:top w:val="nil"/>
              <w:left w:val="nil"/>
              <w:bottom w:val="single" w:sz="4" w:space="0" w:color="000000"/>
              <w:right w:val="nil"/>
            </w:tcBorders>
            <w:tcMar>
              <w:top w:w="100" w:type="dxa"/>
              <w:left w:w="100" w:type="dxa"/>
              <w:bottom w:w="100" w:type="dxa"/>
              <w:right w:w="100" w:type="dxa"/>
            </w:tcMar>
          </w:tcPr>
          <w:p w14:paraId="3DC3DA73" w14:textId="77777777" w:rsidR="00B56519" w:rsidRDefault="00B56519" w:rsidP="0032797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r>
      <w:tr w:rsidR="00B56519" w14:paraId="41270406" w14:textId="77777777" w:rsidTr="0032797E">
        <w:trPr>
          <w:trHeight w:val="20"/>
        </w:trPr>
        <w:tc>
          <w:tcPr>
            <w:tcW w:w="495" w:type="dxa"/>
            <w:tcBorders>
              <w:top w:val="single" w:sz="4" w:space="0" w:color="000000"/>
              <w:left w:val="nil"/>
              <w:bottom w:val="nil"/>
              <w:right w:val="nil"/>
            </w:tcBorders>
            <w:tcMar>
              <w:top w:w="100" w:type="dxa"/>
              <w:left w:w="100" w:type="dxa"/>
              <w:bottom w:w="100" w:type="dxa"/>
              <w:right w:w="100" w:type="dxa"/>
            </w:tcMar>
          </w:tcPr>
          <w:p w14:paraId="2B0A718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4" w:space="0" w:color="000000"/>
              <w:left w:val="nil"/>
              <w:bottom w:val="nil"/>
              <w:right w:val="nil"/>
            </w:tcBorders>
            <w:tcMar>
              <w:top w:w="100" w:type="dxa"/>
              <w:left w:w="100" w:type="dxa"/>
              <w:bottom w:w="100" w:type="dxa"/>
              <w:right w:w="100" w:type="dxa"/>
            </w:tcMar>
          </w:tcPr>
          <w:p w14:paraId="4AB1052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-1,141,514</w:t>
            </w:r>
          </w:p>
        </w:tc>
        <w:tc>
          <w:tcPr>
            <w:tcW w:w="1425" w:type="dxa"/>
            <w:tcBorders>
              <w:top w:val="single" w:sz="4" w:space="0" w:color="000000"/>
              <w:left w:val="nil"/>
              <w:bottom w:val="nil"/>
              <w:right w:val="nil"/>
            </w:tcBorders>
            <w:tcMar>
              <w:top w:w="100" w:type="dxa"/>
              <w:left w:w="100" w:type="dxa"/>
              <w:bottom w:w="100" w:type="dxa"/>
              <w:right w:w="100" w:type="dxa"/>
            </w:tcMar>
          </w:tcPr>
          <w:p w14:paraId="041F983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40" w:type="dxa"/>
            <w:tcBorders>
              <w:top w:val="single" w:sz="4" w:space="0" w:color="000000"/>
              <w:left w:val="nil"/>
              <w:bottom w:val="nil"/>
              <w:right w:val="nil"/>
            </w:tcBorders>
            <w:tcMar>
              <w:top w:w="100" w:type="dxa"/>
              <w:left w:w="100" w:type="dxa"/>
              <w:bottom w:w="100" w:type="dxa"/>
              <w:right w:w="100" w:type="dxa"/>
            </w:tcMar>
          </w:tcPr>
          <w:p w14:paraId="4B1F30C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-1,052,110</w:t>
            </w:r>
          </w:p>
        </w:tc>
        <w:tc>
          <w:tcPr>
            <w:tcW w:w="1425" w:type="dxa"/>
            <w:tcBorders>
              <w:top w:val="single" w:sz="4" w:space="0" w:color="000000"/>
              <w:left w:val="nil"/>
              <w:bottom w:val="nil"/>
              <w:right w:val="nil"/>
            </w:tcBorders>
            <w:tcMar>
              <w:top w:w="100" w:type="dxa"/>
              <w:left w:w="100" w:type="dxa"/>
              <w:bottom w:w="100" w:type="dxa"/>
              <w:right w:w="100" w:type="dxa"/>
            </w:tcMar>
          </w:tcPr>
          <w:p w14:paraId="069FF28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B56519" w14:paraId="5FDB873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D226C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40" w:type="dxa"/>
            <w:tcBorders>
              <w:top w:val="nil"/>
              <w:left w:val="nil"/>
              <w:bottom w:val="nil"/>
              <w:right w:val="nil"/>
            </w:tcBorders>
            <w:tcMar>
              <w:top w:w="100" w:type="dxa"/>
              <w:left w:w="100" w:type="dxa"/>
              <w:bottom w:w="100" w:type="dxa"/>
              <w:right w:w="100" w:type="dxa"/>
            </w:tcMar>
          </w:tcPr>
          <w:p w14:paraId="6925AC6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-1,041,843</w:t>
            </w:r>
          </w:p>
        </w:tc>
        <w:tc>
          <w:tcPr>
            <w:tcW w:w="1425" w:type="dxa"/>
            <w:tcBorders>
              <w:top w:val="nil"/>
              <w:left w:val="nil"/>
              <w:bottom w:val="nil"/>
              <w:right w:val="nil"/>
            </w:tcBorders>
            <w:tcMar>
              <w:top w:w="100" w:type="dxa"/>
              <w:left w:w="100" w:type="dxa"/>
              <w:bottom w:w="100" w:type="dxa"/>
              <w:right w:w="100" w:type="dxa"/>
            </w:tcMar>
          </w:tcPr>
          <w:p w14:paraId="6552DF2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8,265</w:t>
            </w:r>
          </w:p>
        </w:tc>
        <w:tc>
          <w:tcPr>
            <w:tcW w:w="1440" w:type="dxa"/>
            <w:tcBorders>
              <w:top w:val="nil"/>
              <w:left w:val="nil"/>
              <w:bottom w:val="nil"/>
              <w:right w:val="nil"/>
            </w:tcBorders>
            <w:tcMar>
              <w:top w:w="100" w:type="dxa"/>
              <w:left w:w="100" w:type="dxa"/>
              <w:bottom w:w="100" w:type="dxa"/>
              <w:right w:w="100" w:type="dxa"/>
            </w:tcMar>
          </w:tcPr>
          <w:p w14:paraId="3747B3C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-960,897</w:t>
            </w:r>
          </w:p>
        </w:tc>
        <w:tc>
          <w:tcPr>
            <w:tcW w:w="1425" w:type="dxa"/>
            <w:tcBorders>
              <w:top w:val="nil"/>
              <w:left w:val="nil"/>
              <w:bottom w:val="nil"/>
              <w:right w:val="nil"/>
            </w:tcBorders>
            <w:tcMar>
              <w:top w:w="100" w:type="dxa"/>
              <w:left w:w="100" w:type="dxa"/>
              <w:bottom w:w="100" w:type="dxa"/>
              <w:right w:w="100" w:type="dxa"/>
            </w:tcMar>
          </w:tcPr>
          <w:p w14:paraId="54C9E17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8,348</w:t>
            </w:r>
          </w:p>
        </w:tc>
      </w:tr>
      <w:tr w:rsidR="00B56519" w14:paraId="5C33663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3DE516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0" w:type="dxa"/>
            <w:tcBorders>
              <w:top w:val="nil"/>
              <w:left w:val="nil"/>
              <w:bottom w:val="nil"/>
              <w:right w:val="nil"/>
            </w:tcBorders>
            <w:tcMar>
              <w:top w:w="100" w:type="dxa"/>
              <w:left w:w="100" w:type="dxa"/>
              <w:bottom w:w="100" w:type="dxa"/>
              <w:right w:w="100" w:type="dxa"/>
            </w:tcMar>
          </w:tcPr>
          <w:p w14:paraId="02E56D6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-1,007,755</w:t>
            </w:r>
          </w:p>
        </w:tc>
        <w:tc>
          <w:tcPr>
            <w:tcW w:w="1425" w:type="dxa"/>
            <w:tcBorders>
              <w:top w:val="nil"/>
              <w:left w:val="nil"/>
              <w:bottom w:val="nil"/>
              <w:right w:val="nil"/>
            </w:tcBorders>
            <w:tcMar>
              <w:top w:w="100" w:type="dxa"/>
              <w:left w:w="100" w:type="dxa"/>
              <w:bottom w:w="100" w:type="dxa"/>
              <w:right w:w="100" w:type="dxa"/>
            </w:tcMar>
          </w:tcPr>
          <w:p w14:paraId="36A3D15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16,356</w:t>
            </w:r>
          </w:p>
        </w:tc>
        <w:tc>
          <w:tcPr>
            <w:tcW w:w="1440" w:type="dxa"/>
            <w:tcBorders>
              <w:top w:val="nil"/>
              <w:left w:val="nil"/>
              <w:bottom w:val="nil"/>
              <w:right w:val="nil"/>
            </w:tcBorders>
            <w:tcMar>
              <w:top w:w="100" w:type="dxa"/>
              <w:left w:w="100" w:type="dxa"/>
              <w:bottom w:w="100" w:type="dxa"/>
              <w:right w:w="100" w:type="dxa"/>
            </w:tcMar>
          </w:tcPr>
          <w:p w14:paraId="45A352F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-936,369</w:t>
            </w:r>
          </w:p>
        </w:tc>
        <w:tc>
          <w:tcPr>
            <w:tcW w:w="1425" w:type="dxa"/>
            <w:tcBorders>
              <w:top w:val="nil"/>
              <w:left w:val="nil"/>
              <w:bottom w:val="nil"/>
              <w:right w:val="nil"/>
            </w:tcBorders>
            <w:tcMar>
              <w:top w:w="100" w:type="dxa"/>
              <w:left w:w="100" w:type="dxa"/>
              <w:bottom w:w="100" w:type="dxa"/>
              <w:right w:w="100" w:type="dxa"/>
            </w:tcMar>
          </w:tcPr>
          <w:p w14:paraId="25B2ECC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13,466</w:t>
            </w:r>
          </w:p>
        </w:tc>
      </w:tr>
      <w:tr w:rsidR="00B56519" w14:paraId="2E5497A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3AE51B7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40" w:type="dxa"/>
            <w:tcBorders>
              <w:top w:val="nil"/>
              <w:left w:val="nil"/>
              <w:bottom w:val="nil"/>
              <w:right w:val="nil"/>
            </w:tcBorders>
            <w:tcMar>
              <w:top w:w="100" w:type="dxa"/>
              <w:left w:w="100" w:type="dxa"/>
              <w:bottom w:w="100" w:type="dxa"/>
              <w:right w:w="100" w:type="dxa"/>
            </w:tcMar>
          </w:tcPr>
          <w:p w14:paraId="025C0CD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-980,683</w:t>
            </w:r>
          </w:p>
        </w:tc>
        <w:tc>
          <w:tcPr>
            <w:tcW w:w="1425" w:type="dxa"/>
            <w:tcBorders>
              <w:top w:val="nil"/>
              <w:left w:val="nil"/>
              <w:bottom w:val="nil"/>
              <w:right w:val="nil"/>
            </w:tcBorders>
            <w:tcMar>
              <w:top w:w="100" w:type="dxa"/>
              <w:left w:w="100" w:type="dxa"/>
              <w:bottom w:w="100" w:type="dxa"/>
              <w:right w:w="100" w:type="dxa"/>
            </w:tcMar>
          </w:tcPr>
          <w:p w14:paraId="206433D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23,667</w:t>
            </w:r>
          </w:p>
        </w:tc>
        <w:tc>
          <w:tcPr>
            <w:tcW w:w="1440" w:type="dxa"/>
            <w:tcBorders>
              <w:top w:val="nil"/>
              <w:left w:val="nil"/>
              <w:bottom w:val="nil"/>
              <w:right w:val="nil"/>
            </w:tcBorders>
            <w:tcMar>
              <w:top w:w="100" w:type="dxa"/>
              <w:left w:w="100" w:type="dxa"/>
              <w:bottom w:w="100" w:type="dxa"/>
              <w:right w:w="100" w:type="dxa"/>
            </w:tcMar>
          </w:tcPr>
          <w:p w14:paraId="3F25CCB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-906,857</w:t>
            </w:r>
          </w:p>
        </w:tc>
        <w:tc>
          <w:tcPr>
            <w:tcW w:w="1425" w:type="dxa"/>
            <w:tcBorders>
              <w:top w:val="nil"/>
              <w:left w:val="nil"/>
              <w:bottom w:val="nil"/>
              <w:right w:val="nil"/>
            </w:tcBorders>
            <w:tcMar>
              <w:top w:w="100" w:type="dxa"/>
              <w:left w:w="100" w:type="dxa"/>
              <w:bottom w:w="100" w:type="dxa"/>
              <w:right w:w="100" w:type="dxa"/>
            </w:tcMar>
          </w:tcPr>
          <w:p w14:paraId="282BAB3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19,240</w:t>
            </w:r>
          </w:p>
        </w:tc>
      </w:tr>
      <w:tr w:rsidR="00B56519" w14:paraId="0FFD8469"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E49C0D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40" w:type="dxa"/>
            <w:tcBorders>
              <w:top w:val="nil"/>
              <w:left w:val="nil"/>
              <w:bottom w:val="nil"/>
              <w:right w:val="nil"/>
            </w:tcBorders>
            <w:tcMar>
              <w:top w:w="100" w:type="dxa"/>
              <w:left w:w="100" w:type="dxa"/>
              <w:bottom w:w="100" w:type="dxa"/>
              <w:right w:w="100" w:type="dxa"/>
            </w:tcMar>
          </w:tcPr>
          <w:p w14:paraId="6E790C7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-958,829</w:t>
            </w:r>
          </w:p>
        </w:tc>
        <w:tc>
          <w:tcPr>
            <w:tcW w:w="1425" w:type="dxa"/>
            <w:tcBorders>
              <w:top w:val="nil"/>
              <w:left w:val="nil"/>
              <w:bottom w:val="nil"/>
              <w:right w:val="nil"/>
            </w:tcBorders>
            <w:tcMar>
              <w:top w:w="100" w:type="dxa"/>
              <w:left w:w="100" w:type="dxa"/>
              <w:bottom w:w="100" w:type="dxa"/>
              <w:right w:w="100" w:type="dxa"/>
            </w:tcMar>
          </w:tcPr>
          <w:p w14:paraId="34E123C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27,167</w:t>
            </w:r>
          </w:p>
        </w:tc>
        <w:tc>
          <w:tcPr>
            <w:tcW w:w="1440" w:type="dxa"/>
            <w:tcBorders>
              <w:top w:val="nil"/>
              <w:left w:val="nil"/>
              <w:bottom w:val="nil"/>
              <w:right w:val="nil"/>
            </w:tcBorders>
            <w:tcMar>
              <w:top w:w="100" w:type="dxa"/>
              <w:left w:w="100" w:type="dxa"/>
              <w:bottom w:w="100" w:type="dxa"/>
              <w:right w:w="100" w:type="dxa"/>
            </w:tcMar>
          </w:tcPr>
          <w:p w14:paraId="3C255ED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-877,017</w:t>
            </w:r>
          </w:p>
        </w:tc>
        <w:tc>
          <w:tcPr>
            <w:tcW w:w="1425" w:type="dxa"/>
            <w:tcBorders>
              <w:top w:val="nil"/>
              <w:left w:val="nil"/>
              <w:bottom w:val="nil"/>
              <w:right w:val="nil"/>
            </w:tcBorders>
            <w:tcMar>
              <w:top w:w="100" w:type="dxa"/>
              <w:left w:w="100" w:type="dxa"/>
              <w:bottom w:w="100" w:type="dxa"/>
              <w:right w:w="100" w:type="dxa"/>
            </w:tcMar>
          </w:tcPr>
          <w:p w14:paraId="00B3E24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21,983</w:t>
            </w:r>
          </w:p>
        </w:tc>
      </w:tr>
      <w:tr w:rsidR="00B56519" w14:paraId="604D4D58"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BCD5AD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40" w:type="dxa"/>
            <w:tcBorders>
              <w:top w:val="nil"/>
              <w:left w:val="nil"/>
              <w:bottom w:val="nil"/>
              <w:right w:val="nil"/>
            </w:tcBorders>
            <w:tcMar>
              <w:top w:w="100" w:type="dxa"/>
              <w:left w:w="100" w:type="dxa"/>
              <w:bottom w:w="100" w:type="dxa"/>
              <w:right w:w="100" w:type="dxa"/>
            </w:tcMar>
          </w:tcPr>
          <w:p w14:paraId="6023571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-933,937</w:t>
            </w:r>
          </w:p>
        </w:tc>
        <w:tc>
          <w:tcPr>
            <w:tcW w:w="1425" w:type="dxa"/>
            <w:tcBorders>
              <w:top w:val="nil"/>
              <w:left w:val="nil"/>
              <w:bottom w:val="nil"/>
              <w:right w:val="nil"/>
            </w:tcBorders>
            <w:tcMar>
              <w:top w:w="100" w:type="dxa"/>
              <w:left w:w="100" w:type="dxa"/>
              <w:bottom w:w="100" w:type="dxa"/>
              <w:right w:w="100" w:type="dxa"/>
            </w:tcMar>
          </w:tcPr>
          <w:p w14:paraId="46CFFE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24,222</w:t>
            </w:r>
          </w:p>
        </w:tc>
        <w:tc>
          <w:tcPr>
            <w:tcW w:w="1440" w:type="dxa"/>
            <w:tcBorders>
              <w:top w:val="nil"/>
              <w:left w:val="nil"/>
              <w:bottom w:val="nil"/>
              <w:right w:val="nil"/>
            </w:tcBorders>
            <w:tcMar>
              <w:top w:w="100" w:type="dxa"/>
              <w:left w:w="100" w:type="dxa"/>
              <w:bottom w:w="100" w:type="dxa"/>
              <w:right w:w="100" w:type="dxa"/>
            </w:tcMar>
          </w:tcPr>
          <w:p w14:paraId="34693C2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-860,700</w:t>
            </w:r>
          </w:p>
        </w:tc>
        <w:tc>
          <w:tcPr>
            <w:tcW w:w="1425" w:type="dxa"/>
            <w:tcBorders>
              <w:top w:val="nil"/>
              <w:left w:val="nil"/>
              <w:bottom w:val="nil"/>
              <w:right w:val="nil"/>
            </w:tcBorders>
            <w:tcMar>
              <w:top w:w="100" w:type="dxa"/>
              <w:left w:w="100" w:type="dxa"/>
              <w:bottom w:w="100" w:type="dxa"/>
              <w:right w:w="100" w:type="dxa"/>
            </w:tcMar>
          </w:tcPr>
          <w:p w14:paraId="4435D58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22,225</w:t>
            </w:r>
          </w:p>
        </w:tc>
      </w:tr>
      <w:tr w:rsidR="00B56519" w14:paraId="2D0181A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9D16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40" w:type="dxa"/>
            <w:tcBorders>
              <w:top w:val="nil"/>
              <w:left w:val="nil"/>
              <w:bottom w:val="nil"/>
              <w:right w:val="nil"/>
            </w:tcBorders>
            <w:tcMar>
              <w:top w:w="100" w:type="dxa"/>
              <w:left w:w="100" w:type="dxa"/>
              <w:bottom w:w="100" w:type="dxa"/>
              <w:right w:w="100" w:type="dxa"/>
            </w:tcMar>
          </w:tcPr>
          <w:p w14:paraId="757E2E7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-917,655</w:t>
            </w:r>
          </w:p>
        </w:tc>
        <w:tc>
          <w:tcPr>
            <w:tcW w:w="1425" w:type="dxa"/>
            <w:tcBorders>
              <w:top w:val="nil"/>
              <w:left w:val="nil"/>
              <w:bottom w:val="nil"/>
              <w:right w:val="nil"/>
            </w:tcBorders>
            <w:tcMar>
              <w:top w:w="100" w:type="dxa"/>
              <w:left w:w="100" w:type="dxa"/>
              <w:bottom w:w="100" w:type="dxa"/>
              <w:right w:w="100" w:type="dxa"/>
            </w:tcMar>
          </w:tcPr>
          <w:p w14:paraId="04C99B5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27,527</w:t>
            </w:r>
          </w:p>
        </w:tc>
        <w:tc>
          <w:tcPr>
            <w:tcW w:w="1440" w:type="dxa"/>
            <w:tcBorders>
              <w:top w:val="nil"/>
              <w:left w:val="nil"/>
              <w:bottom w:val="nil"/>
              <w:right w:val="nil"/>
            </w:tcBorders>
            <w:tcMar>
              <w:top w:w="100" w:type="dxa"/>
              <w:left w:w="100" w:type="dxa"/>
              <w:bottom w:w="100" w:type="dxa"/>
              <w:right w:w="100" w:type="dxa"/>
            </w:tcMar>
          </w:tcPr>
          <w:p w14:paraId="455857A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-841,769</w:t>
            </w:r>
          </w:p>
        </w:tc>
        <w:tc>
          <w:tcPr>
            <w:tcW w:w="1425" w:type="dxa"/>
            <w:tcBorders>
              <w:top w:val="nil"/>
              <w:left w:val="nil"/>
              <w:bottom w:val="nil"/>
              <w:right w:val="nil"/>
            </w:tcBorders>
            <w:tcMar>
              <w:top w:w="100" w:type="dxa"/>
              <w:left w:w="100" w:type="dxa"/>
              <w:bottom w:w="100" w:type="dxa"/>
              <w:right w:w="100" w:type="dxa"/>
            </w:tcMar>
          </w:tcPr>
          <w:p w14:paraId="69278AB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24,065</w:t>
            </w:r>
          </w:p>
        </w:tc>
      </w:tr>
      <w:tr w:rsidR="00B56519" w14:paraId="41BB6C55"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DD777C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40" w:type="dxa"/>
            <w:tcBorders>
              <w:top w:val="nil"/>
              <w:left w:val="nil"/>
              <w:bottom w:val="nil"/>
              <w:right w:val="nil"/>
            </w:tcBorders>
            <w:tcMar>
              <w:top w:w="100" w:type="dxa"/>
              <w:left w:w="100" w:type="dxa"/>
              <w:bottom w:w="100" w:type="dxa"/>
              <w:right w:w="100" w:type="dxa"/>
            </w:tcMar>
          </w:tcPr>
          <w:p w14:paraId="3E19CE4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-902,905</w:t>
            </w:r>
          </w:p>
        </w:tc>
        <w:tc>
          <w:tcPr>
            <w:tcW w:w="1425" w:type="dxa"/>
            <w:tcBorders>
              <w:top w:val="nil"/>
              <w:left w:val="nil"/>
              <w:bottom w:val="nil"/>
              <w:right w:val="nil"/>
            </w:tcBorders>
            <w:tcMar>
              <w:top w:w="100" w:type="dxa"/>
              <w:left w:w="100" w:type="dxa"/>
              <w:bottom w:w="100" w:type="dxa"/>
              <w:right w:w="100" w:type="dxa"/>
            </w:tcMar>
          </w:tcPr>
          <w:p w14:paraId="7F0C39B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27,978</w:t>
            </w:r>
          </w:p>
        </w:tc>
        <w:tc>
          <w:tcPr>
            <w:tcW w:w="1440" w:type="dxa"/>
            <w:tcBorders>
              <w:top w:val="nil"/>
              <w:left w:val="nil"/>
              <w:bottom w:val="nil"/>
              <w:right w:val="nil"/>
            </w:tcBorders>
            <w:tcMar>
              <w:top w:w="100" w:type="dxa"/>
              <w:left w:w="100" w:type="dxa"/>
              <w:bottom w:w="100" w:type="dxa"/>
              <w:right w:w="100" w:type="dxa"/>
            </w:tcMar>
          </w:tcPr>
          <w:p w14:paraId="130FD25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-836,905</w:t>
            </w:r>
          </w:p>
        </w:tc>
        <w:tc>
          <w:tcPr>
            <w:tcW w:w="1425" w:type="dxa"/>
            <w:tcBorders>
              <w:top w:val="nil"/>
              <w:left w:val="nil"/>
              <w:bottom w:val="nil"/>
              <w:right w:val="nil"/>
            </w:tcBorders>
            <w:tcMar>
              <w:top w:w="100" w:type="dxa"/>
              <w:left w:w="100" w:type="dxa"/>
              <w:bottom w:w="100" w:type="dxa"/>
              <w:right w:w="100" w:type="dxa"/>
            </w:tcMar>
          </w:tcPr>
          <w:p w14:paraId="6106175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25,350</w:t>
            </w:r>
          </w:p>
        </w:tc>
      </w:tr>
      <w:tr w:rsidR="00B56519" w14:paraId="488DEFB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4E37C40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440" w:type="dxa"/>
            <w:tcBorders>
              <w:top w:val="nil"/>
              <w:left w:val="nil"/>
              <w:bottom w:val="nil"/>
              <w:right w:val="nil"/>
            </w:tcBorders>
            <w:tcMar>
              <w:top w:w="100" w:type="dxa"/>
              <w:left w:w="100" w:type="dxa"/>
              <w:bottom w:w="100" w:type="dxa"/>
              <w:right w:w="100" w:type="dxa"/>
            </w:tcMar>
          </w:tcPr>
          <w:p w14:paraId="4C6847D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-890,953</w:t>
            </w:r>
          </w:p>
        </w:tc>
        <w:tc>
          <w:tcPr>
            <w:tcW w:w="1425" w:type="dxa"/>
            <w:tcBorders>
              <w:top w:val="nil"/>
              <w:left w:val="nil"/>
              <w:bottom w:val="nil"/>
              <w:right w:val="nil"/>
            </w:tcBorders>
            <w:tcMar>
              <w:top w:w="100" w:type="dxa"/>
              <w:left w:w="100" w:type="dxa"/>
              <w:bottom w:w="100" w:type="dxa"/>
              <w:right w:w="100" w:type="dxa"/>
            </w:tcMar>
          </w:tcPr>
          <w:p w14:paraId="5799C4C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29,664</w:t>
            </w:r>
          </w:p>
        </w:tc>
        <w:tc>
          <w:tcPr>
            <w:tcW w:w="1440" w:type="dxa"/>
            <w:tcBorders>
              <w:top w:val="nil"/>
              <w:left w:val="nil"/>
              <w:bottom w:val="nil"/>
              <w:right w:val="nil"/>
            </w:tcBorders>
            <w:tcMar>
              <w:top w:w="100" w:type="dxa"/>
              <w:left w:w="100" w:type="dxa"/>
              <w:bottom w:w="100" w:type="dxa"/>
              <w:right w:w="100" w:type="dxa"/>
            </w:tcMar>
          </w:tcPr>
          <w:p w14:paraId="411EB17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-817,599</w:t>
            </w:r>
          </w:p>
        </w:tc>
        <w:tc>
          <w:tcPr>
            <w:tcW w:w="1425" w:type="dxa"/>
            <w:tcBorders>
              <w:top w:val="nil"/>
              <w:left w:val="nil"/>
              <w:bottom w:val="nil"/>
              <w:right w:val="nil"/>
            </w:tcBorders>
            <w:tcMar>
              <w:top w:w="100" w:type="dxa"/>
              <w:left w:w="100" w:type="dxa"/>
              <w:bottom w:w="100" w:type="dxa"/>
              <w:right w:w="100" w:type="dxa"/>
            </w:tcMar>
          </w:tcPr>
          <w:p w14:paraId="518A7A9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26,658</w:t>
            </w:r>
          </w:p>
        </w:tc>
      </w:tr>
      <w:tr w:rsidR="00B56519" w14:paraId="2F512DC3"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830FDF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tcBorders>
              <w:top w:val="nil"/>
              <w:left w:val="nil"/>
              <w:bottom w:val="nil"/>
              <w:right w:val="nil"/>
            </w:tcBorders>
            <w:tcMar>
              <w:top w:w="100" w:type="dxa"/>
              <w:left w:w="100" w:type="dxa"/>
              <w:bottom w:w="100" w:type="dxa"/>
              <w:right w:w="100" w:type="dxa"/>
            </w:tcMar>
          </w:tcPr>
          <w:p w14:paraId="5A8AD99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-880,322</w:t>
            </w:r>
          </w:p>
        </w:tc>
        <w:tc>
          <w:tcPr>
            <w:tcW w:w="1425" w:type="dxa"/>
            <w:tcBorders>
              <w:top w:val="nil"/>
              <w:left w:val="nil"/>
              <w:bottom w:val="nil"/>
              <w:right w:val="nil"/>
            </w:tcBorders>
            <w:tcMar>
              <w:top w:w="100" w:type="dxa"/>
              <w:left w:w="100" w:type="dxa"/>
              <w:bottom w:w="100" w:type="dxa"/>
              <w:right w:w="100" w:type="dxa"/>
            </w:tcMar>
          </w:tcPr>
          <w:p w14:paraId="1BC999C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30,659</w:t>
            </w:r>
          </w:p>
        </w:tc>
        <w:tc>
          <w:tcPr>
            <w:tcW w:w="1440" w:type="dxa"/>
            <w:tcBorders>
              <w:top w:val="nil"/>
              <w:left w:val="nil"/>
              <w:bottom w:val="nil"/>
              <w:right w:val="nil"/>
            </w:tcBorders>
            <w:tcMar>
              <w:top w:w="100" w:type="dxa"/>
              <w:left w:w="100" w:type="dxa"/>
              <w:bottom w:w="100" w:type="dxa"/>
              <w:right w:w="100" w:type="dxa"/>
            </w:tcMar>
          </w:tcPr>
          <w:p w14:paraId="201CEB5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-807,473</w:t>
            </w:r>
          </w:p>
        </w:tc>
        <w:tc>
          <w:tcPr>
            <w:tcW w:w="1425" w:type="dxa"/>
            <w:tcBorders>
              <w:top w:val="nil"/>
              <w:left w:val="nil"/>
              <w:bottom w:val="nil"/>
              <w:right w:val="nil"/>
            </w:tcBorders>
            <w:tcMar>
              <w:top w:w="100" w:type="dxa"/>
              <w:left w:w="100" w:type="dxa"/>
              <w:bottom w:w="100" w:type="dxa"/>
              <w:right w:w="100" w:type="dxa"/>
            </w:tcMar>
          </w:tcPr>
          <w:p w14:paraId="107D3B1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29,130</w:t>
            </w:r>
          </w:p>
        </w:tc>
      </w:tr>
      <w:tr w:rsidR="00B56519" w14:paraId="1AB79C4C"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855591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440" w:type="dxa"/>
            <w:tcBorders>
              <w:top w:val="nil"/>
              <w:left w:val="nil"/>
              <w:bottom w:val="nil"/>
              <w:right w:val="nil"/>
            </w:tcBorders>
            <w:tcMar>
              <w:top w:w="100" w:type="dxa"/>
              <w:left w:w="100" w:type="dxa"/>
              <w:bottom w:w="100" w:type="dxa"/>
              <w:right w:w="100" w:type="dxa"/>
            </w:tcMar>
          </w:tcPr>
          <w:p w14:paraId="5D47E3F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-874,246</w:t>
            </w:r>
          </w:p>
        </w:tc>
        <w:tc>
          <w:tcPr>
            <w:tcW w:w="1425" w:type="dxa"/>
            <w:tcBorders>
              <w:top w:val="nil"/>
              <w:left w:val="nil"/>
              <w:bottom w:val="nil"/>
              <w:right w:val="nil"/>
            </w:tcBorders>
            <w:tcMar>
              <w:top w:w="100" w:type="dxa"/>
              <w:left w:w="100" w:type="dxa"/>
              <w:bottom w:w="100" w:type="dxa"/>
              <w:right w:w="100" w:type="dxa"/>
            </w:tcMar>
          </w:tcPr>
          <w:p w14:paraId="2A00F99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32,763</w:t>
            </w:r>
          </w:p>
        </w:tc>
        <w:tc>
          <w:tcPr>
            <w:tcW w:w="1440" w:type="dxa"/>
            <w:tcBorders>
              <w:top w:val="nil"/>
              <w:left w:val="nil"/>
              <w:bottom w:val="nil"/>
              <w:right w:val="nil"/>
            </w:tcBorders>
            <w:tcMar>
              <w:top w:w="100" w:type="dxa"/>
              <w:left w:w="100" w:type="dxa"/>
              <w:bottom w:w="100" w:type="dxa"/>
              <w:right w:w="100" w:type="dxa"/>
            </w:tcMar>
          </w:tcPr>
          <w:p w14:paraId="027493B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-803,657</w:t>
            </w:r>
          </w:p>
        </w:tc>
        <w:tc>
          <w:tcPr>
            <w:tcW w:w="1425" w:type="dxa"/>
            <w:tcBorders>
              <w:top w:val="nil"/>
              <w:left w:val="nil"/>
              <w:bottom w:val="nil"/>
              <w:right w:val="nil"/>
            </w:tcBorders>
            <w:tcMar>
              <w:top w:w="100" w:type="dxa"/>
              <w:left w:w="100" w:type="dxa"/>
              <w:bottom w:w="100" w:type="dxa"/>
              <w:right w:w="100" w:type="dxa"/>
            </w:tcMar>
          </w:tcPr>
          <w:p w14:paraId="4D53963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29,568</w:t>
            </w:r>
          </w:p>
        </w:tc>
      </w:tr>
      <w:tr w:rsidR="00B56519" w14:paraId="2F9CB6E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F3DCF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440" w:type="dxa"/>
            <w:tcBorders>
              <w:top w:val="nil"/>
              <w:left w:val="nil"/>
              <w:bottom w:val="nil"/>
              <w:right w:val="nil"/>
            </w:tcBorders>
            <w:tcMar>
              <w:top w:w="100" w:type="dxa"/>
              <w:left w:w="100" w:type="dxa"/>
              <w:bottom w:w="100" w:type="dxa"/>
              <w:right w:w="100" w:type="dxa"/>
            </w:tcMar>
          </w:tcPr>
          <w:p w14:paraId="766FA80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-864,092</w:t>
            </w:r>
          </w:p>
        </w:tc>
        <w:tc>
          <w:tcPr>
            <w:tcW w:w="1425" w:type="dxa"/>
            <w:tcBorders>
              <w:top w:val="nil"/>
              <w:left w:val="nil"/>
              <w:bottom w:val="nil"/>
              <w:right w:val="nil"/>
            </w:tcBorders>
            <w:tcMar>
              <w:top w:w="100" w:type="dxa"/>
              <w:left w:w="100" w:type="dxa"/>
              <w:bottom w:w="100" w:type="dxa"/>
              <w:right w:w="100" w:type="dxa"/>
            </w:tcMar>
          </w:tcPr>
          <w:p w14:paraId="348EAB6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34,572</w:t>
            </w:r>
          </w:p>
        </w:tc>
        <w:tc>
          <w:tcPr>
            <w:tcW w:w="1440" w:type="dxa"/>
            <w:tcBorders>
              <w:top w:val="nil"/>
              <w:left w:val="nil"/>
              <w:bottom w:val="nil"/>
              <w:right w:val="nil"/>
            </w:tcBorders>
            <w:tcMar>
              <w:top w:w="100" w:type="dxa"/>
              <w:left w:w="100" w:type="dxa"/>
              <w:bottom w:w="100" w:type="dxa"/>
              <w:right w:w="100" w:type="dxa"/>
            </w:tcMar>
          </w:tcPr>
          <w:p w14:paraId="6053512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-799,420</w:t>
            </w:r>
          </w:p>
        </w:tc>
        <w:tc>
          <w:tcPr>
            <w:tcW w:w="1425" w:type="dxa"/>
            <w:tcBorders>
              <w:top w:val="nil"/>
              <w:left w:val="nil"/>
              <w:bottom w:val="nil"/>
              <w:right w:val="nil"/>
            </w:tcBorders>
            <w:tcMar>
              <w:top w:w="100" w:type="dxa"/>
              <w:left w:w="100" w:type="dxa"/>
              <w:bottom w:w="100" w:type="dxa"/>
              <w:right w:w="100" w:type="dxa"/>
            </w:tcMar>
          </w:tcPr>
          <w:p w14:paraId="775C6BB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30,984</w:t>
            </w:r>
          </w:p>
        </w:tc>
      </w:tr>
      <w:tr w:rsidR="00B56519" w14:paraId="57042C7D"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A208B2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440" w:type="dxa"/>
            <w:tcBorders>
              <w:top w:val="nil"/>
              <w:left w:val="nil"/>
              <w:bottom w:val="nil"/>
              <w:right w:val="nil"/>
            </w:tcBorders>
            <w:tcMar>
              <w:top w:w="100" w:type="dxa"/>
              <w:left w:w="100" w:type="dxa"/>
              <w:bottom w:w="100" w:type="dxa"/>
              <w:right w:w="100" w:type="dxa"/>
            </w:tcMar>
          </w:tcPr>
          <w:p w14:paraId="3D87914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-858,242</w:t>
            </w:r>
          </w:p>
        </w:tc>
        <w:tc>
          <w:tcPr>
            <w:tcW w:w="1425" w:type="dxa"/>
            <w:tcBorders>
              <w:top w:val="nil"/>
              <w:left w:val="nil"/>
              <w:bottom w:val="nil"/>
              <w:right w:val="nil"/>
            </w:tcBorders>
            <w:tcMar>
              <w:top w:w="100" w:type="dxa"/>
              <w:left w:w="100" w:type="dxa"/>
              <w:bottom w:w="100" w:type="dxa"/>
              <w:right w:w="100" w:type="dxa"/>
            </w:tcMar>
          </w:tcPr>
          <w:p w14:paraId="14DDA53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35,278</w:t>
            </w:r>
          </w:p>
        </w:tc>
        <w:tc>
          <w:tcPr>
            <w:tcW w:w="1440" w:type="dxa"/>
            <w:tcBorders>
              <w:top w:val="nil"/>
              <w:left w:val="nil"/>
              <w:bottom w:val="nil"/>
              <w:right w:val="nil"/>
            </w:tcBorders>
            <w:tcMar>
              <w:top w:w="100" w:type="dxa"/>
              <w:left w:w="100" w:type="dxa"/>
              <w:bottom w:w="100" w:type="dxa"/>
              <w:right w:w="100" w:type="dxa"/>
            </w:tcMar>
          </w:tcPr>
          <w:p w14:paraId="161806F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-786,457</w:t>
            </w:r>
          </w:p>
        </w:tc>
        <w:tc>
          <w:tcPr>
            <w:tcW w:w="1425" w:type="dxa"/>
            <w:tcBorders>
              <w:top w:val="nil"/>
              <w:left w:val="nil"/>
              <w:bottom w:val="nil"/>
              <w:right w:val="nil"/>
            </w:tcBorders>
            <w:tcMar>
              <w:top w:w="100" w:type="dxa"/>
              <w:left w:w="100" w:type="dxa"/>
              <w:bottom w:w="100" w:type="dxa"/>
              <w:right w:w="100" w:type="dxa"/>
            </w:tcMar>
          </w:tcPr>
          <w:p w14:paraId="32CF553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30,998</w:t>
            </w:r>
          </w:p>
        </w:tc>
      </w:tr>
      <w:tr w:rsidR="00B56519" w14:paraId="38890F8D"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62BA2A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440" w:type="dxa"/>
            <w:tcBorders>
              <w:top w:val="nil"/>
              <w:left w:val="nil"/>
              <w:bottom w:val="nil"/>
              <w:right w:val="nil"/>
            </w:tcBorders>
            <w:tcMar>
              <w:top w:w="100" w:type="dxa"/>
              <w:left w:w="100" w:type="dxa"/>
              <w:bottom w:w="100" w:type="dxa"/>
              <w:right w:w="100" w:type="dxa"/>
            </w:tcMar>
          </w:tcPr>
          <w:p w14:paraId="630AF7E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-852,374</w:t>
            </w:r>
          </w:p>
        </w:tc>
        <w:tc>
          <w:tcPr>
            <w:tcW w:w="1425" w:type="dxa"/>
            <w:tcBorders>
              <w:top w:val="nil"/>
              <w:left w:val="nil"/>
              <w:bottom w:val="nil"/>
              <w:right w:val="nil"/>
            </w:tcBorders>
            <w:tcMar>
              <w:top w:w="100" w:type="dxa"/>
              <w:left w:w="100" w:type="dxa"/>
              <w:bottom w:w="100" w:type="dxa"/>
              <w:right w:w="100" w:type="dxa"/>
            </w:tcMar>
          </w:tcPr>
          <w:p w14:paraId="36D5CEC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39,001</w:t>
            </w:r>
          </w:p>
        </w:tc>
        <w:tc>
          <w:tcPr>
            <w:tcW w:w="1440" w:type="dxa"/>
            <w:tcBorders>
              <w:top w:val="nil"/>
              <w:left w:val="nil"/>
              <w:bottom w:val="nil"/>
              <w:right w:val="nil"/>
            </w:tcBorders>
            <w:tcMar>
              <w:top w:w="100" w:type="dxa"/>
              <w:left w:w="100" w:type="dxa"/>
              <w:bottom w:w="100" w:type="dxa"/>
              <w:right w:w="100" w:type="dxa"/>
            </w:tcMar>
          </w:tcPr>
          <w:p w14:paraId="4369C0E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-778,585</w:t>
            </w:r>
          </w:p>
        </w:tc>
        <w:tc>
          <w:tcPr>
            <w:tcW w:w="1425" w:type="dxa"/>
            <w:tcBorders>
              <w:top w:val="nil"/>
              <w:left w:val="nil"/>
              <w:bottom w:val="nil"/>
              <w:right w:val="nil"/>
            </w:tcBorders>
            <w:tcMar>
              <w:top w:w="100" w:type="dxa"/>
              <w:left w:w="100" w:type="dxa"/>
              <w:bottom w:w="100" w:type="dxa"/>
              <w:right w:w="100" w:type="dxa"/>
            </w:tcMar>
          </w:tcPr>
          <w:p w14:paraId="4B19D18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34,507</w:t>
            </w:r>
          </w:p>
        </w:tc>
      </w:tr>
      <w:tr w:rsidR="00B56519" w14:paraId="1DC6433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D265B5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440" w:type="dxa"/>
            <w:tcBorders>
              <w:top w:val="nil"/>
              <w:left w:val="nil"/>
              <w:bottom w:val="nil"/>
              <w:right w:val="nil"/>
            </w:tcBorders>
            <w:tcMar>
              <w:top w:w="100" w:type="dxa"/>
              <w:left w:w="100" w:type="dxa"/>
              <w:bottom w:w="100" w:type="dxa"/>
              <w:right w:w="100" w:type="dxa"/>
            </w:tcMar>
          </w:tcPr>
          <w:p w14:paraId="438A8DD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-843,775</w:t>
            </w:r>
          </w:p>
        </w:tc>
        <w:tc>
          <w:tcPr>
            <w:tcW w:w="1425" w:type="dxa"/>
            <w:tcBorders>
              <w:top w:val="nil"/>
              <w:left w:val="nil"/>
              <w:bottom w:val="nil"/>
              <w:right w:val="nil"/>
            </w:tcBorders>
            <w:tcMar>
              <w:top w:w="100" w:type="dxa"/>
              <w:left w:w="100" w:type="dxa"/>
              <w:bottom w:w="100" w:type="dxa"/>
              <w:right w:w="100" w:type="dxa"/>
            </w:tcMar>
          </w:tcPr>
          <w:p w14:paraId="356F5EC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37,393</w:t>
            </w:r>
          </w:p>
        </w:tc>
        <w:tc>
          <w:tcPr>
            <w:tcW w:w="1440" w:type="dxa"/>
            <w:tcBorders>
              <w:top w:val="nil"/>
              <w:left w:val="nil"/>
              <w:bottom w:val="nil"/>
              <w:right w:val="nil"/>
            </w:tcBorders>
            <w:tcMar>
              <w:top w:w="100" w:type="dxa"/>
              <w:left w:w="100" w:type="dxa"/>
              <w:bottom w:w="100" w:type="dxa"/>
              <w:right w:w="100" w:type="dxa"/>
            </w:tcMar>
          </w:tcPr>
          <w:p w14:paraId="0C938F3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-776,709</w:t>
            </w:r>
          </w:p>
        </w:tc>
        <w:tc>
          <w:tcPr>
            <w:tcW w:w="1425" w:type="dxa"/>
            <w:tcBorders>
              <w:top w:val="nil"/>
              <w:left w:val="nil"/>
              <w:bottom w:val="nil"/>
              <w:right w:val="nil"/>
            </w:tcBorders>
            <w:tcMar>
              <w:top w:w="100" w:type="dxa"/>
              <w:left w:w="100" w:type="dxa"/>
              <w:bottom w:w="100" w:type="dxa"/>
              <w:right w:w="100" w:type="dxa"/>
            </w:tcMar>
          </w:tcPr>
          <w:p w14:paraId="13EA478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38,569</w:t>
            </w:r>
          </w:p>
        </w:tc>
      </w:tr>
      <w:tr w:rsidR="00B56519" w14:paraId="4013026C"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A0D213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440" w:type="dxa"/>
            <w:tcBorders>
              <w:top w:val="nil"/>
              <w:left w:val="nil"/>
              <w:bottom w:val="nil"/>
              <w:right w:val="nil"/>
            </w:tcBorders>
            <w:tcMar>
              <w:top w:w="100" w:type="dxa"/>
              <w:left w:w="100" w:type="dxa"/>
              <w:bottom w:w="100" w:type="dxa"/>
              <w:right w:w="100" w:type="dxa"/>
            </w:tcMar>
          </w:tcPr>
          <w:p w14:paraId="44BF45F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-845,714</w:t>
            </w:r>
          </w:p>
        </w:tc>
        <w:tc>
          <w:tcPr>
            <w:tcW w:w="1425" w:type="dxa"/>
            <w:tcBorders>
              <w:top w:val="nil"/>
              <w:left w:val="nil"/>
              <w:bottom w:val="nil"/>
              <w:right w:val="nil"/>
            </w:tcBorders>
            <w:tcMar>
              <w:top w:w="100" w:type="dxa"/>
              <w:left w:w="100" w:type="dxa"/>
              <w:bottom w:w="100" w:type="dxa"/>
              <w:right w:w="100" w:type="dxa"/>
            </w:tcMar>
          </w:tcPr>
          <w:p w14:paraId="78EB130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48,906</w:t>
            </w:r>
          </w:p>
        </w:tc>
        <w:tc>
          <w:tcPr>
            <w:tcW w:w="1440" w:type="dxa"/>
            <w:tcBorders>
              <w:top w:val="nil"/>
              <w:left w:val="nil"/>
              <w:bottom w:val="nil"/>
              <w:right w:val="nil"/>
            </w:tcBorders>
            <w:tcMar>
              <w:top w:w="100" w:type="dxa"/>
              <w:left w:w="100" w:type="dxa"/>
              <w:bottom w:w="100" w:type="dxa"/>
              <w:right w:w="100" w:type="dxa"/>
            </w:tcMar>
          </w:tcPr>
          <w:p w14:paraId="6D45E3A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-771,922</w:t>
            </w:r>
          </w:p>
        </w:tc>
        <w:tc>
          <w:tcPr>
            <w:tcW w:w="1425" w:type="dxa"/>
            <w:tcBorders>
              <w:top w:val="nil"/>
              <w:left w:val="nil"/>
              <w:bottom w:val="nil"/>
              <w:right w:val="nil"/>
            </w:tcBorders>
            <w:tcMar>
              <w:top w:w="100" w:type="dxa"/>
              <w:left w:w="100" w:type="dxa"/>
              <w:bottom w:w="100" w:type="dxa"/>
              <w:right w:w="100" w:type="dxa"/>
            </w:tcMar>
          </w:tcPr>
          <w:p w14:paraId="2D3AB3D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37,840</w:t>
            </w:r>
          </w:p>
        </w:tc>
      </w:tr>
      <w:tr w:rsidR="00B56519" w14:paraId="1028F92B"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3450BA9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440" w:type="dxa"/>
            <w:tcBorders>
              <w:top w:val="nil"/>
              <w:left w:val="nil"/>
              <w:bottom w:val="nil"/>
              <w:right w:val="nil"/>
            </w:tcBorders>
            <w:tcMar>
              <w:top w:w="100" w:type="dxa"/>
              <w:left w:w="100" w:type="dxa"/>
              <w:bottom w:w="100" w:type="dxa"/>
              <w:right w:w="100" w:type="dxa"/>
            </w:tcMar>
          </w:tcPr>
          <w:p w14:paraId="1813B03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-833,837</w:t>
            </w:r>
          </w:p>
        </w:tc>
        <w:tc>
          <w:tcPr>
            <w:tcW w:w="1425" w:type="dxa"/>
            <w:tcBorders>
              <w:top w:val="nil"/>
              <w:left w:val="nil"/>
              <w:bottom w:val="nil"/>
              <w:right w:val="nil"/>
            </w:tcBorders>
            <w:tcMar>
              <w:top w:w="100" w:type="dxa"/>
              <w:left w:w="100" w:type="dxa"/>
              <w:bottom w:w="100" w:type="dxa"/>
              <w:right w:w="100" w:type="dxa"/>
            </w:tcMar>
          </w:tcPr>
          <w:p w14:paraId="465B002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40,234</w:t>
            </w:r>
          </w:p>
        </w:tc>
        <w:tc>
          <w:tcPr>
            <w:tcW w:w="1440" w:type="dxa"/>
            <w:tcBorders>
              <w:top w:val="nil"/>
              <w:left w:val="nil"/>
              <w:bottom w:val="nil"/>
              <w:right w:val="nil"/>
            </w:tcBorders>
            <w:tcMar>
              <w:top w:w="100" w:type="dxa"/>
              <w:left w:w="100" w:type="dxa"/>
              <w:bottom w:w="100" w:type="dxa"/>
              <w:right w:w="100" w:type="dxa"/>
            </w:tcMar>
          </w:tcPr>
          <w:p w14:paraId="2C217C0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-765,511</w:t>
            </w:r>
          </w:p>
        </w:tc>
        <w:tc>
          <w:tcPr>
            <w:tcW w:w="1425" w:type="dxa"/>
            <w:tcBorders>
              <w:top w:val="nil"/>
              <w:left w:val="nil"/>
              <w:bottom w:val="nil"/>
              <w:right w:val="nil"/>
            </w:tcBorders>
            <w:tcMar>
              <w:top w:w="100" w:type="dxa"/>
              <w:left w:w="100" w:type="dxa"/>
              <w:bottom w:w="100" w:type="dxa"/>
              <w:right w:w="100" w:type="dxa"/>
            </w:tcMar>
          </w:tcPr>
          <w:p w14:paraId="1BA1258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39,439</w:t>
            </w:r>
          </w:p>
        </w:tc>
      </w:tr>
      <w:tr w:rsidR="00B56519" w14:paraId="38D9193F"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EEBB3A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440" w:type="dxa"/>
            <w:tcBorders>
              <w:top w:val="nil"/>
              <w:left w:val="nil"/>
              <w:bottom w:val="nil"/>
              <w:right w:val="nil"/>
            </w:tcBorders>
            <w:tcMar>
              <w:top w:w="100" w:type="dxa"/>
              <w:left w:w="100" w:type="dxa"/>
              <w:bottom w:w="100" w:type="dxa"/>
              <w:right w:w="100" w:type="dxa"/>
            </w:tcMar>
          </w:tcPr>
          <w:p w14:paraId="0357B6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-836,303</w:t>
            </w:r>
          </w:p>
        </w:tc>
        <w:tc>
          <w:tcPr>
            <w:tcW w:w="1425" w:type="dxa"/>
            <w:tcBorders>
              <w:top w:val="nil"/>
              <w:left w:val="nil"/>
              <w:bottom w:val="nil"/>
              <w:right w:val="nil"/>
            </w:tcBorders>
            <w:tcMar>
              <w:top w:w="100" w:type="dxa"/>
              <w:left w:w="100" w:type="dxa"/>
              <w:bottom w:w="100" w:type="dxa"/>
              <w:right w:w="100" w:type="dxa"/>
            </w:tcMar>
          </w:tcPr>
          <w:p w14:paraId="57070C3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58,800</w:t>
            </w:r>
          </w:p>
        </w:tc>
        <w:tc>
          <w:tcPr>
            <w:tcW w:w="1440" w:type="dxa"/>
            <w:tcBorders>
              <w:top w:val="nil"/>
              <w:left w:val="nil"/>
              <w:bottom w:val="nil"/>
              <w:right w:val="nil"/>
            </w:tcBorders>
            <w:tcMar>
              <w:top w:w="100" w:type="dxa"/>
              <w:left w:w="100" w:type="dxa"/>
              <w:bottom w:w="100" w:type="dxa"/>
              <w:right w:w="100" w:type="dxa"/>
            </w:tcMar>
          </w:tcPr>
          <w:p w14:paraId="446C9B3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-762,489</w:t>
            </w:r>
          </w:p>
        </w:tc>
        <w:tc>
          <w:tcPr>
            <w:tcW w:w="1425" w:type="dxa"/>
            <w:tcBorders>
              <w:top w:val="nil"/>
              <w:left w:val="nil"/>
              <w:bottom w:val="nil"/>
              <w:right w:val="nil"/>
            </w:tcBorders>
            <w:tcMar>
              <w:top w:w="100" w:type="dxa"/>
              <w:left w:w="100" w:type="dxa"/>
              <w:bottom w:w="100" w:type="dxa"/>
              <w:right w:w="100" w:type="dxa"/>
            </w:tcMar>
          </w:tcPr>
          <w:p w14:paraId="158C0CF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38,676</w:t>
            </w:r>
          </w:p>
        </w:tc>
      </w:tr>
      <w:tr w:rsidR="00B56519" w14:paraId="3C27455B"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BAA595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19</w:t>
            </w:r>
          </w:p>
        </w:tc>
        <w:tc>
          <w:tcPr>
            <w:tcW w:w="1440" w:type="dxa"/>
            <w:tcBorders>
              <w:top w:val="nil"/>
              <w:left w:val="nil"/>
              <w:bottom w:val="nil"/>
              <w:right w:val="nil"/>
            </w:tcBorders>
            <w:tcMar>
              <w:top w:w="100" w:type="dxa"/>
              <w:left w:w="100" w:type="dxa"/>
              <w:bottom w:w="100" w:type="dxa"/>
              <w:right w:w="100" w:type="dxa"/>
            </w:tcMar>
          </w:tcPr>
          <w:p w14:paraId="5132DF3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-825,005</w:t>
            </w:r>
          </w:p>
        </w:tc>
        <w:tc>
          <w:tcPr>
            <w:tcW w:w="1425" w:type="dxa"/>
            <w:tcBorders>
              <w:top w:val="nil"/>
              <w:left w:val="nil"/>
              <w:bottom w:val="nil"/>
              <w:right w:val="nil"/>
            </w:tcBorders>
            <w:tcMar>
              <w:top w:w="100" w:type="dxa"/>
              <w:left w:w="100" w:type="dxa"/>
              <w:bottom w:w="100" w:type="dxa"/>
              <w:right w:w="100" w:type="dxa"/>
            </w:tcMar>
          </w:tcPr>
          <w:p w14:paraId="27AADF4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46,602</w:t>
            </w:r>
          </w:p>
        </w:tc>
        <w:tc>
          <w:tcPr>
            <w:tcW w:w="1440" w:type="dxa"/>
            <w:tcBorders>
              <w:top w:val="nil"/>
              <w:left w:val="nil"/>
              <w:bottom w:val="nil"/>
              <w:right w:val="nil"/>
            </w:tcBorders>
            <w:tcMar>
              <w:top w:w="100" w:type="dxa"/>
              <w:left w:w="100" w:type="dxa"/>
              <w:bottom w:w="100" w:type="dxa"/>
              <w:right w:w="100" w:type="dxa"/>
            </w:tcMar>
          </w:tcPr>
          <w:p w14:paraId="6144A8D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-755,359</w:t>
            </w:r>
          </w:p>
        </w:tc>
        <w:tc>
          <w:tcPr>
            <w:tcW w:w="1425" w:type="dxa"/>
            <w:tcBorders>
              <w:top w:val="nil"/>
              <w:left w:val="nil"/>
              <w:bottom w:val="nil"/>
              <w:right w:val="nil"/>
            </w:tcBorders>
            <w:tcMar>
              <w:top w:w="100" w:type="dxa"/>
              <w:left w:w="100" w:type="dxa"/>
              <w:bottom w:w="100" w:type="dxa"/>
              <w:right w:w="100" w:type="dxa"/>
            </w:tcMar>
          </w:tcPr>
          <w:p w14:paraId="220F331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42,792</w:t>
            </w:r>
          </w:p>
        </w:tc>
      </w:tr>
      <w:tr w:rsidR="00B56519" w14:paraId="57D863D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499C8BA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440" w:type="dxa"/>
            <w:tcBorders>
              <w:top w:val="nil"/>
              <w:left w:val="nil"/>
              <w:bottom w:val="nil"/>
              <w:right w:val="nil"/>
            </w:tcBorders>
            <w:tcMar>
              <w:top w:w="100" w:type="dxa"/>
              <w:left w:w="100" w:type="dxa"/>
              <w:bottom w:w="100" w:type="dxa"/>
              <w:right w:w="100" w:type="dxa"/>
            </w:tcMar>
          </w:tcPr>
          <w:p w14:paraId="15A6461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-831,585</w:t>
            </w:r>
          </w:p>
        </w:tc>
        <w:tc>
          <w:tcPr>
            <w:tcW w:w="1425" w:type="dxa"/>
            <w:tcBorders>
              <w:top w:val="nil"/>
              <w:left w:val="nil"/>
              <w:bottom w:val="nil"/>
              <w:right w:val="nil"/>
            </w:tcBorders>
            <w:tcMar>
              <w:top w:w="100" w:type="dxa"/>
              <w:left w:w="100" w:type="dxa"/>
              <w:bottom w:w="100" w:type="dxa"/>
              <w:right w:w="100" w:type="dxa"/>
            </w:tcMar>
          </w:tcPr>
          <w:p w14:paraId="26DC5B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51,195</w:t>
            </w:r>
          </w:p>
        </w:tc>
        <w:tc>
          <w:tcPr>
            <w:tcW w:w="1440" w:type="dxa"/>
            <w:tcBorders>
              <w:top w:val="nil"/>
              <w:left w:val="nil"/>
              <w:bottom w:val="nil"/>
              <w:right w:val="nil"/>
            </w:tcBorders>
            <w:tcMar>
              <w:top w:w="100" w:type="dxa"/>
              <w:left w:w="100" w:type="dxa"/>
              <w:bottom w:w="100" w:type="dxa"/>
              <w:right w:w="100" w:type="dxa"/>
            </w:tcMar>
          </w:tcPr>
          <w:p w14:paraId="6EB84B0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-755,712</w:t>
            </w:r>
          </w:p>
        </w:tc>
        <w:tc>
          <w:tcPr>
            <w:tcW w:w="1425" w:type="dxa"/>
            <w:tcBorders>
              <w:top w:val="nil"/>
              <w:left w:val="nil"/>
              <w:bottom w:val="nil"/>
              <w:right w:val="nil"/>
            </w:tcBorders>
            <w:tcMar>
              <w:top w:w="100" w:type="dxa"/>
              <w:left w:w="100" w:type="dxa"/>
              <w:bottom w:w="100" w:type="dxa"/>
              <w:right w:w="100" w:type="dxa"/>
            </w:tcMar>
          </w:tcPr>
          <w:p w14:paraId="2F22746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40,103</w:t>
            </w:r>
          </w:p>
        </w:tc>
      </w:tr>
      <w:tr w:rsidR="00B56519" w14:paraId="5FCEC03A"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37A1EF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440" w:type="dxa"/>
            <w:tcBorders>
              <w:top w:val="nil"/>
              <w:left w:val="nil"/>
              <w:bottom w:val="nil"/>
              <w:right w:val="nil"/>
            </w:tcBorders>
            <w:tcMar>
              <w:top w:w="100" w:type="dxa"/>
              <w:left w:w="100" w:type="dxa"/>
              <w:bottom w:w="100" w:type="dxa"/>
              <w:right w:w="100" w:type="dxa"/>
            </w:tcMar>
          </w:tcPr>
          <w:p w14:paraId="1F01F17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-813,331</w:t>
            </w:r>
          </w:p>
        </w:tc>
        <w:tc>
          <w:tcPr>
            <w:tcW w:w="1425" w:type="dxa"/>
            <w:tcBorders>
              <w:top w:val="nil"/>
              <w:left w:val="nil"/>
              <w:bottom w:val="nil"/>
              <w:right w:val="nil"/>
            </w:tcBorders>
            <w:tcMar>
              <w:top w:w="100" w:type="dxa"/>
              <w:left w:w="100" w:type="dxa"/>
              <w:bottom w:w="100" w:type="dxa"/>
              <w:right w:w="100" w:type="dxa"/>
            </w:tcMar>
          </w:tcPr>
          <w:p w14:paraId="2899745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45,630</w:t>
            </w:r>
          </w:p>
        </w:tc>
        <w:tc>
          <w:tcPr>
            <w:tcW w:w="1440" w:type="dxa"/>
            <w:tcBorders>
              <w:top w:val="nil"/>
              <w:left w:val="nil"/>
              <w:bottom w:val="nil"/>
              <w:right w:val="nil"/>
            </w:tcBorders>
            <w:tcMar>
              <w:top w:w="100" w:type="dxa"/>
              <w:left w:w="100" w:type="dxa"/>
              <w:bottom w:w="100" w:type="dxa"/>
              <w:right w:w="100" w:type="dxa"/>
            </w:tcMar>
          </w:tcPr>
          <w:p w14:paraId="22110F1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-746,186</w:t>
            </w:r>
          </w:p>
        </w:tc>
        <w:tc>
          <w:tcPr>
            <w:tcW w:w="1425" w:type="dxa"/>
            <w:tcBorders>
              <w:top w:val="nil"/>
              <w:left w:val="nil"/>
              <w:bottom w:val="nil"/>
              <w:right w:val="nil"/>
            </w:tcBorders>
            <w:tcMar>
              <w:top w:w="100" w:type="dxa"/>
              <w:left w:w="100" w:type="dxa"/>
              <w:bottom w:w="100" w:type="dxa"/>
              <w:right w:w="100" w:type="dxa"/>
            </w:tcMar>
          </w:tcPr>
          <w:p w14:paraId="037CA4E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39,653</w:t>
            </w:r>
          </w:p>
        </w:tc>
      </w:tr>
      <w:tr w:rsidR="00B56519" w14:paraId="52AE327F"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9B1658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440" w:type="dxa"/>
            <w:tcBorders>
              <w:top w:val="nil"/>
              <w:left w:val="nil"/>
              <w:bottom w:val="nil"/>
              <w:right w:val="nil"/>
            </w:tcBorders>
            <w:tcMar>
              <w:top w:w="100" w:type="dxa"/>
              <w:left w:w="100" w:type="dxa"/>
              <w:bottom w:w="100" w:type="dxa"/>
              <w:right w:w="100" w:type="dxa"/>
            </w:tcMar>
          </w:tcPr>
          <w:p w14:paraId="4590106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-810,313</w:t>
            </w:r>
          </w:p>
        </w:tc>
        <w:tc>
          <w:tcPr>
            <w:tcW w:w="1425" w:type="dxa"/>
            <w:tcBorders>
              <w:top w:val="nil"/>
              <w:left w:val="nil"/>
              <w:bottom w:val="nil"/>
              <w:right w:val="nil"/>
            </w:tcBorders>
            <w:tcMar>
              <w:top w:w="100" w:type="dxa"/>
              <w:left w:w="100" w:type="dxa"/>
              <w:bottom w:w="100" w:type="dxa"/>
              <w:right w:w="100" w:type="dxa"/>
            </w:tcMar>
          </w:tcPr>
          <w:p w14:paraId="42D23A0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46,166</w:t>
            </w:r>
          </w:p>
        </w:tc>
        <w:tc>
          <w:tcPr>
            <w:tcW w:w="1440" w:type="dxa"/>
            <w:tcBorders>
              <w:top w:val="nil"/>
              <w:left w:val="nil"/>
              <w:bottom w:val="nil"/>
              <w:right w:val="nil"/>
            </w:tcBorders>
            <w:tcMar>
              <w:top w:w="100" w:type="dxa"/>
              <w:left w:w="100" w:type="dxa"/>
              <w:bottom w:w="100" w:type="dxa"/>
              <w:right w:w="100" w:type="dxa"/>
            </w:tcMar>
          </w:tcPr>
          <w:p w14:paraId="1607F22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-741,761</w:t>
            </w:r>
          </w:p>
        </w:tc>
        <w:tc>
          <w:tcPr>
            <w:tcW w:w="1425" w:type="dxa"/>
            <w:tcBorders>
              <w:top w:val="nil"/>
              <w:left w:val="nil"/>
              <w:bottom w:val="nil"/>
              <w:right w:val="nil"/>
            </w:tcBorders>
            <w:tcMar>
              <w:top w:w="100" w:type="dxa"/>
              <w:left w:w="100" w:type="dxa"/>
              <w:bottom w:w="100" w:type="dxa"/>
              <w:right w:w="100" w:type="dxa"/>
            </w:tcMar>
          </w:tcPr>
          <w:p w14:paraId="49E0DDE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41,735</w:t>
            </w:r>
          </w:p>
        </w:tc>
      </w:tr>
      <w:tr w:rsidR="00B56519" w14:paraId="008A35F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FD41FD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440" w:type="dxa"/>
            <w:tcBorders>
              <w:top w:val="nil"/>
              <w:left w:val="nil"/>
              <w:bottom w:val="nil"/>
              <w:right w:val="nil"/>
            </w:tcBorders>
            <w:tcMar>
              <w:top w:w="100" w:type="dxa"/>
              <w:left w:w="100" w:type="dxa"/>
              <w:bottom w:w="100" w:type="dxa"/>
              <w:right w:w="100" w:type="dxa"/>
            </w:tcMar>
          </w:tcPr>
          <w:p w14:paraId="07D6053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-808,525</w:t>
            </w:r>
          </w:p>
        </w:tc>
        <w:tc>
          <w:tcPr>
            <w:tcW w:w="1425" w:type="dxa"/>
            <w:tcBorders>
              <w:top w:val="nil"/>
              <w:left w:val="nil"/>
              <w:bottom w:val="nil"/>
              <w:right w:val="nil"/>
            </w:tcBorders>
            <w:tcMar>
              <w:top w:w="100" w:type="dxa"/>
              <w:left w:w="100" w:type="dxa"/>
              <w:bottom w:w="100" w:type="dxa"/>
              <w:right w:w="100" w:type="dxa"/>
            </w:tcMar>
          </w:tcPr>
          <w:p w14:paraId="3893234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49,764</w:t>
            </w:r>
          </w:p>
        </w:tc>
        <w:tc>
          <w:tcPr>
            <w:tcW w:w="1440" w:type="dxa"/>
            <w:tcBorders>
              <w:top w:val="nil"/>
              <w:left w:val="nil"/>
              <w:bottom w:val="nil"/>
              <w:right w:val="nil"/>
            </w:tcBorders>
            <w:tcMar>
              <w:top w:w="100" w:type="dxa"/>
              <w:left w:w="100" w:type="dxa"/>
              <w:bottom w:w="100" w:type="dxa"/>
              <w:right w:w="100" w:type="dxa"/>
            </w:tcMar>
          </w:tcPr>
          <w:p w14:paraId="7FBCAD1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-737,752</w:t>
            </w:r>
          </w:p>
        </w:tc>
        <w:tc>
          <w:tcPr>
            <w:tcW w:w="1425" w:type="dxa"/>
            <w:tcBorders>
              <w:top w:val="nil"/>
              <w:left w:val="nil"/>
              <w:bottom w:val="nil"/>
              <w:right w:val="nil"/>
            </w:tcBorders>
            <w:tcMar>
              <w:top w:w="100" w:type="dxa"/>
              <w:left w:w="100" w:type="dxa"/>
              <w:bottom w:w="100" w:type="dxa"/>
              <w:right w:w="100" w:type="dxa"/>
            </w:tcMar>
          </w:tcPr>
          <w:p w14:paraId="0449067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44,276</w:t>
            </w:r>
          </w:p>
        </w:tc>
      </w:tr>
      <w:tr w:rsidR="00B56519" w14:paraId="1E006537"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143F3D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440" w:type="dxa"/>
            <w:tcBorders>
              <w:top w:val="nil"/>
              <w:left w:val="nil"/>
              <w:bottom w:val="nil"/>
              <w:right w:val="nil"/>
            </w:tcBorders>
            <w:tcMar>
              <w:top w:w="100" w:type="dxa"/>
              <w:left w:w="100" w:type="dxa"/>
              <w:bottom w:w="100" w:type="dxa"/>
              <w:right w:w="100" w:type="dxa"/>
            </w:tcMar>
          </w:tcPr>
          <w:p w14:paraId="36EDFC5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-803,436</w:t>
            </w:r>
          </w:p>
        </w:tc>
        <w:tc>
          <w:tcPr>
            <w:tcW w:w="1425" w:type="dxa"/>
            <w:tcBorders>
              <w:top w:val="nil"/>
              <w:left w:val="nil"/>
              <w:bottom w:val="nil"/>
              <w:right w:val="nil"/>
            </w:tcBorders>
            <w:tcMar>
              <w:top w:w="100" w:type="dxa"/>
              <w:left w:w="100" w:type="dxa"/>
              <w:bottom w:w="100" w:type="dxa"/>
              <w:right w:w="100" w:type="dxa"/>
            </w:tcMar>
          </w:tcPr>
          <w:p w14:paraId="62F638E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49,126</w:t>
            </w:r>
          </w:p>
        </w:tc>
        <w:tc>
          <w:tcPr>
            <w:tcW w:w="1440" w:type="dxa"/>
            <w:tcBorders>
              <w:top w:val="nil"/>
              <w:left w:val="nil"/>
              <w:bottom w:val="nil"/>
              <w:right w:val="nil"/>
            </w:tcBorders>
            <w:tcMar>
              <w:top w:w="100" w:type="dxa"/>
              <w:left w:w="100" w:type="dxa"/>
              <w:bottom w:w="100" w:type="dxa"/>
              <w:right w:w="100" w:type="dxa"/>
            </w:tcMar>
          </w:tcPr>
          <w:p w14:paraId="1AF1983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-739,916</w:t>
            </w:r>
          </w:p>
        </w:tc>
        <w:tc>
          <w:tcPr>
            <w:tcW w:w="1425" w:type="dxa"/>
            <w:tcBorders>
              <w:top w:val="nil"/>
              <w:left w:val="nil"/>
              <w:bottom w:val="nil"/>
              <w:right w:val="nil"/>
            </w:tcBorders>
            <w:tcMar>
              <w:top w:w="100" w:type="dxa"/>
              <w:left w:w="100" w:type="dxa"/>
              <w:bottom w:w="100" w:type="dxa"/>
              <w:right w:w="100" w:type="dxa"/>
            </w:tcMar>
          </w:tcPr>
          <w:p w14:paraId="416A16F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42,663</w:t>
            </w:r>
          </w:p>
        </w:tc>
      </w:tr>
      <w:tr w:rsidR="00B56519" w14:paraId="1AF6F53E" w14:textId="77777777" w:rsidTr="0032797E">
        <w:trPr>
          <w:trHeight w:val="20"/>
        </w:trPr>
        <w:tc>
          <w:tcPr>
            <w:tcW w:w="495" w:type="dxa"/>
            <w:tcBorders>
              <w:top w:val="nil"/>
              <w:left w:val="nil"/>
              <w:bottom w:val="single" w:sz="8" w:space="0" w:color="000000"/>
              <w:right w:val="nil"/>
            </w:tcBorders>
            <w:tcMar>
              <w:top w:w="100" w:type="dxa"/>
              <w:left w:w="100" w:type="dxa"/>
              <w:bottom w:w="100" w:type="dxa"/>
              <w:right w:w="100" w:type="dxa"/>
            </w:tcMar>
          </w:tcPr>
          <w:p w14:paraId="1037B42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440" w:type="dxa"/>
            <w:tcBorders>
              <w:top w:val="nil"/>
              <w:left w:val="nil"/>
              <w:bottom w:val="single" w:sz="8" w:space="0" w:color="000000"/>
              <w:right w:val="nil"/>
            </w:tcBorders>
            <w:tcMar>
              <w:top w:w="100" w:type="dxa"/>
              <w:left w:w="100" w:type="dxa"/>
              <w:bottom w:w="100" w:type="dxa"/>
              <w:right w:w="100" w:type="dxa"/>
            </w:tcMar>
          </w:tcPr>
          <w:p w14:paraId="440695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-803,120</w:t>
            </w:r>
          </w:p>
        </w:tc>
        <w:tc>
          <w:tcPr>
            <w:tcW w:w="1425" w:type="dxa"/>
            <w:tcBorders>
              <w:top w:val="nil"/>
              <w:left w:val="nil"/>
              <w:bottom w:val="single" w:sz="8" w:space="0" w:color="000000"/>
              <w:right w:val="nil"/>
            </w:tcBorders>
            <w:tcMar>
              <w:top w:w="100" w:type="dxa"/>
              <w:left w:w="100" w:type="dxa"/>
              <w:bottom w:w="100" w:type="dxa"/>
              <w:right w:w="100" w:type="dxa"/>
            </w:tcMar>
          </w:tcPr>
          <w:p w14:paraId="4BA819E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50,513</w:t>
            </w:r>
          </w:p>
        </w:tc>
        <w:tc>
          <w:tcPr>
            <w:tcW w:w="1440" w:type="dxa"/>
            <w:tcBorders>
              <w:top w:val="nil"/>
              <w:left w:val="nil"/>
              <w:bottom w:val="single" w:sz="8" w:space="0" w:color="000000"/>
              <w:right w:val="nil"/>
            </w:tcBorders>
            <w:tcMar>
              <w:top w:w="100" w:type="dxa"/>
              <w:left w:w="100" w:type="dxa"/>
              <w:bottom w:w="100" w:type="dxa"/>
              <w:right w:w="100" w:type="dxa"/>
            </w:tcMar>
          </w:tcPr>
          <w:p w14:paraId="0AF7BF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-735,824</w:t>
            </w:r>
          </w:p>
        </w:tc>
        <w:tc>
          <w:tcPr>
            <w:tcW w:w="1425" w:type="dxa"/>
            <w:tcBorders>
              <w:top w:val="nil"/>
              <w:left w:val="nil"/>
              <w:bottom w:val="single" w:sz="8" w:space="0" w:color="000000"/>
              <w:right w:val="nil"/>
            </w:tcBorders>
            <w:tcMar>
              <w:top w:w="100" w:type="dxa"/>
              <w:left w:w="100" w:type="dxa"/>
              <w:bottom w:w="100" w:type="dxa"/>
              <w:right w:w="100" w:type="dxa"/>
            </w:tcMar>
          </w:tcPr>
          <w:p w14:paraId="5D838E4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45,660</w:t>
            </w:r>
          </w:p>
        </w:tc>
      </w:tr>
    </w:tbl>
    <w:p w14:paraId="0F2B1A20" w14:textId="19A9BD57" w:rsidR="00B56519" w:rsidRDefault="00B56519" w:rsidP="00B56519">
      <w:pPr>
        <w:spacing w:after="0"/>
      </w:pPr>
      <w:r>
        <w:rPr>
          <w:sz w:val="24"/>
          <w:szCs w:val="24"/>
        </w:rPr>
        <w:t xml:space="preserve"> </w:t>
      </w:r>
      <w:r>
        <w:br w:type="page"/>
      </w:r>
    </w:p>
    <w:p w14:paraId="431D1912" w14:textId="29238680"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Figure 3.1</w:t>
      </w:r>
      <w:r>
        <w:rPr>
          <w:rFonts w:ascii="Times New Roman" w:eastAsia="Times New Roman" w:hAnsi="Times New Roman" w:cs="Times New Roman"/>
          <w:sz w:val="24"/>
          <w:szCs w:val="24"/>
        </w:rPr>
        <w:t xml:space="preserve">. Geographic distribution of STRUCTURE-based Bayesian population-level assignment to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3, 4, or 5 clusters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(panels A through D, respectively). The continental divide is shown with a heavy gray line. To observe population assignment results at finer scale or for populations farther north or west, visit </w:t>
      </w:r>
      <w:hyperlink r:id="rId5">
        <w:r>
          <w:rPr>
            <w:rFonts w:ascii="Times New Roman" w:eastAsia="Times New Roman" w:hAnsi="Times New Roman" w:cs="Times New Roman"/>
            <w:color w:val="1155CC"/>
            <w:sz w:val="24"/>
            <w:szCs w:val="24"/>
            <w:u w:val="single"/>
          </w:rPr>
          <w:t>http://ecosheds.org:3411/bkt/</w:t>
        </w:r>
      </w:hyperlink>
      <w:r>
        <w:rPr>
          <w:rFonts w:ascii="Times New Roman" w:eastAsia="Times New Roman" w:hAnsi="Times New Roman" w:cs="Times New Roman"/>
          <w:sz w:val="24"/>
          <w:szCs w:val="24"/>
        </w:rPr>
        <w:t xml:space="preserve"> and using the pull-down menu, select the STRUCTURE data layers. Samples outside of the eastern United States were truncated for visual purposes but were included in the analysis and can be viewed with the online viewer.</w:t>
      </w:r>
    </w:p>
    <w:p w14:paraId="4E57AAF8" w14:textId="77777777" w:rsidR="00B56519" w:rsidRDefault="00B56519" w:rsidP="00B56519">
      <w:pPr>
        <w:spacing w:after="0"/>
        <w:rPr>
          <w:rFonts w:ascii="Times New Roman" w:eastAsia="Times New Roman" w:hAnsi="Times New Roman" w:cs="Times New Roman"/>
          <w:sz w:val="24"/>
          <w:szCs w:val="24"/>
        </w:rPr>
      </w:pPr>
    </w:p>
    <w:p w14:paraId="1446C75C" w14:textId="77777777"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3345AE7D" wp14:editId="1343CF86">
            <wp:extent cx="5943600" cy="5130800"/>
            <wp:effectExtent l="0" t="0" r="0" b="0"/>
            <wp:docPr id="22" name="image7.jp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7.jpg" descr="Map&#10;&#10;Description automatically generated"/>
                    <pic:cNvPicPr preferRelativeResize="0"/>
                  </pic:nvPicPr>
                  <pic:blipFill>
                    <a:blip r:embed="rId6"/>
                    <a:srcRect/>
                    <a:stretch>
                      <a:fillRect/>
                    </a:stretch>
                  </pic:blipFill>
                  <pic:spPr>
                    <a:xfrm>
                      <a:off x="0" y="0"/>
                      <a:ext cx="5943600" cy="5130800"/>
                    </a:xfrm>
                    <a:prstGeom prst="rect">
                      <a:avLst/>
                    </a:prstGeom>
                    <a:ln/>
                  </pic:spPr>
                </pic:pic>
              </a:graphicData>
            </a:graphic>
          </wp:inline>
        </w:drawing>
      </w:r>
    </w:p>
    <w:p w14:paraId="7A5AD109" w14:textId="77777777" w:rsidR="00B56519" w:rsidRDefault="00B56519" w:rsidP="00B56519">
      <w:pPr>
        <w:spacing w:after="0"/>
        <w:jc w:val="center"/>
        <w:rPr>
          <w:rFonts w:ascii="Times New Roman" w:eastAsia="Times New Roman" w:hAnsi="Times New Roman" w:cs="Times New Roman"/>
          <w:b/>
          <w:sz w:val="24"/>
          <w:szCs w:val="24"/>
        </w:rPr>
      </w:pPr>
    </w:p>
    <w:p w14:paraId="09124474" w14:textId="77777777" w:rsidR="00B56519" w:rsidRDefault="00B56519" w:rsidP="00B56519">
      <w:pPr>
        <w:spacing w:after="0"/>
        <w:rPr>
          <w:rFonts w:ascii="Times New Roman" w:eastAsia="Times New Roman" w:hAnsi="Times New Roman" w:cs="Times New Roman"/>
          <w:sz w:val="24"/>
          <w:szCs w:val="24"/>
        </w:rPr>
      </w:pPr>
    </w:p>
    <w:p w14:paraId="1CD8C520" w14:textId="77777777" w:rsidR="00B56519" w:rsidRDefault="00B56519" w:rsidP="00B56519">
      <w:pPr>
        <w:spacing w:after="0"/>
        <w:rPr>
          <w:rFonts w:ascii="Times New Roman" w:eastAsia="Times New Roman" w:hAnsi="Times New Roman" w:cs="Times New Roman"/>
          <w:sz w:val="24"/>
          <w:szCs w:val="24"/>
        </w:rPr>
      </w:pPr>
    </w:p>
    <w:p w14:paraId="430F0BD4" w14:textId="77777777" w:rsidR="00B56519" w:rsidRDefault="00B56519" w:rsidP="00B56519"/>
    <w:p w14:paraId="1FD17FB5" w14:textId="77777777" w:rsidR="00B56519" w:rsidRDefault="00B56519" w:rsidP="00B56519">
      <w:pPr>
        <w:spacing w:after="0"/>
        <w:rPr>
          <w:sz w:val="24"/>
          <w:szCs w:val="24"/>
        </w:rPr>
      </w:pPr>
    </w:p>
    <w:p w14:paraId="5C76466A" w14:textId="77777777" w:rsidR="00B56519" w:rsidRDefault="00B56519" w:rsidP="007A06A3">
      <w:pPr>
        <w:spacing w:after="0"/>
        <w:rPr>
          <w:rFonts w:ascii="Times New Roman" w:eastAsia="Times New Roman" w:hAnsi="Times New Roman" w:cs="Times New Roman"/>
          <w:sz w:val="24"/>
          <w:szCs w:val="24"/>
        </w:rPr>
      </w:pPr>
    </w:p>
    <w:p w14:paraId="00D6FC9F" w14:textId="77777777" w:rsidR="007A06A3" w:rsidRDefault="007A06A3" w:rsidP="007A06A3">
      <w:pPr>
        <w:spacing w:after="0"/>
        <w:rPr>
          <w:rFonts w:ascii="Times New Roman" w:eastAsia="Times New Roman" w:hAnsi="Times New Roman" w:cs="Times New Roman"/>
          <w:sz w:val="24"/>
          <w:szCs w:val="24"/>
        </w:rPr>
      </w:pPr>
      <w:r>
        <w:br w:type="page"/>
      </w:r>
    </w:p>
    <w:p w14:paraId="52A61A81" w14:textId="77777777" w:rsidR="007A06A3" w:rsidRPr="00707526" w:rsidRDefault="007A06A3" w:rsidP="007A06A3">
      <w:pPr>
        <w:spacing w:after="0"/>
        <w:rPr>
          <w:rFonts w:ascii="Times New Roman" w:eastAsia="Times New Roman" w:hAnsi="Times New Roman" w:cs="Times New Roman"/>
          <w:b/>
          <w:sz w:val="24"/>
          <w:szCs w:val="24"/>
        </w:rPr>
      </w:pPr>
      <w:r w:rsidRPr="00707526">
        <w:rPr>
          <w:rFonts w:ascii="Times New Roman" w:eastAsia="Times New Roman" w:hAnsi="Times New Roman" w:cs="Times New Roman"/>
          <w:b/>
          <w:sz w:val="24"/>
          <w:szCs w:val="24"/>
        </w:rPr>
        <w:lastRenderedPageBreak/>
        <w:t xml:space="preserve">Supplemental Material 4. </w:t>
      </w:r>
      <w:r w:rsidRPr="00707526">
        <w:rPr>
          <w:rFonts w:ascii="Times New Roman" w:eastAsia="Times New Roman" w:hAnsi="Times New Roman" w:cs="Times New Roman"/>
          <w:bCs/>
          <w:sz w:val="24"/>
          <w:szCs w:val="24"/>
        </w:rPr>
        <w:t xml:space="preserve">Collection-specific DAPC scores for </w:t>
      </w:r>
      <w:r w:rsidRPr="00707526">
        <w:rPr>
          <w:rFonts w:ascii="Times New Roman" w:eastAsia="Times New Roman" w:hAnsi="Times New Roman" w:cs="Times New Roman"/>
          <w:bCs/>
          <w:i/>
          <w:iCs/>
          <w:sz w:val="24"/>
          <w:szCs w:val="24"/>
        </w:rPr>
        <w:t>K</w:t>
      </w:r>
      <w:r w:rsidRPr="00707526">
        <w:rPr>
          <w:rFonts w:ascii="Times New Roman" w:eastAsia="Times New Roman" w:hAnsi="Times New Roman" w:cs="Times New Roman"/>
          <w:bCs/>
          <w:sz w:val="24"/>
          <w:szCs w:val="24"/>
        </w:rPr>
        <w:t xml:space="preserve"> = 2 through </w:t>
      </w:r>
      <w:r w:rsidRPr="00707526">
        <w:rPr>
          <w:rFonts w:ascii="Times New Roman" w:eastAsia="Times New Roman" w:hAnsi="Times New Roman" w:cs="Times New Roman"/>
          <w:bCs/>
          <w:i/>
          <w:iCs/>
          <w:sz w:val="24"/>
          <w:szCs w:val="24"/>
        </w:rPr>
        <w:t>K</w:t>
      </w:r>
      <w:r w:rsidRPr="00707526">
        <w:rPr>
          <w:rFonts w:ascii="Times New Roman" w:eastAsia="Times New Roman" w:hAnsi="Times New Roman" w:cs="Times New Roman"/>
          <w:bCs/>
          <w:sz w:val="24"/>
          <w:szCs w:val="24"/>
        </w:rPr>
        <w:t xml:space="preserve"> = 25.</w:t>
      </w:r>
      <w:r w:rsidRPr="00707526">
        <w:rPr>
          <w:rFonts w:ascii="Times New Roman" w:eastAsia="Times New Roman" w:hAnsi="Times New Roman" w:cs="Times New Roman"/>
          <w:b/>
          <w:sz w:val="24"/>
          <w:szCs w:val="24"/>
        </w:rPr>
        <w:t xml:space="preserve"> </w:t>
      </w:r>
    </w:p>
    <w:p w14:paraId="4953B04A" w14:textId="77777777" w:rsidR="007A06A3" w:rsidRDefault="007A06A3" w:rsidP="007A06A3">
      <w:pPr>
        <w:rPr>
          <w:rFonts w:ascii="Times New Roman" w:eastAsia="Times New Roman" w:hAnsi="Times New Roman" w:cs="Times New Roman"/>
          <w:b/>
          <w:sz w:val="24"/>
          <w:szCs w:val="24"/>
        </w:rPr>
      </w:pPr>
    </w:p>
    <w:p w14:paraId="2A9EDBA1" w14:textId="77777777" w:rsidR="007A06A3" w:rsidRDefault="007A06A3" w:rsidP="007A06A3">
      <w:pPr>
        <w:rPr>
          <w:rFonts w:ascii="Times New Roman" w:eastAsia="Times New Roman" w:hAnsi="Times New Roman" w:cs="Times New Roman"/>
          <w:b/>
          <w:sz w:val="24"/>
          <w:szCs w:val="24"/>
        </w:rPr>
      </w:pPr>
    </w:p>
    <w:p w14:paraId="2B5C73AD" w14:textId="3609B13E" w:rsidR="007A06A3" w:rsidRPr="00707526" w:rsidRDefault="007A06A3" w:rsidP="007A06A3">
      <w:pP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007304FE">
        <w:rPr>
          <w:rFonts w:ascii="Times New Roman" w:eastAsia="Times New Roman" w:hAnsi="Times New Roman" w:cs="Times New Roman"/>
          <w:sz w:val="24"/>
          <w:szCs w:val="24"/>
        </w:rPr>
        <w:t xml:space="preserve">Provided </w:t>
      </w:r>
      <w:r>
        <w:rPr>
          <w:rFonts w:ascii="Times New Roman" w:eastAsia="Times New Roman" w:hAnsi="Times New Roman" w:cs="Times New Roman"/>
          <w:sz w:val="24"/>
          <w:szCs w:val="24"/>
        </w:rPr>
        <w:t>as</w:t>
      </w:r>
      <w:r w:rsidR="007304FE">
        <w:rPr>
          <w:rFonts w:ascii="Times New Roman" w:eastAsia="Times New Roman" w:hAnsi="Times New Roman" w:cs="Times New Roman"/>
          <w:sz w:val="24"/>
          <w:szCs w:val="24"/>
        </w:rPr>
        <w:t xml:space="preserve"> separate</w:t>
      </w:r>
      <w:r>
        <w:rPr>
          <w:rFonts w:ascii="Times New Roman" w:eastAsia="Times New Roman" w:hAnsi="Times New Roman" w:cs="Times New Roman"/>
          <w:sz w:val="24"/>
          <w:szCs w:val="24"/>
        </w:rPr>
        <w:t xml:space="preserve"> .xlsx file]</w:t>
      </w:r>
      <w:r w:rsidRPr="00707526">
        <w:rPr>
          <w:rFonts w:ascii="Times New Roman" w:eastAsia="Times New Roman" w:hAnsi="Times New Roman" w:cs="Times New Roman"/>
          <w:b/>
          <w:sz w:val="24"/>
          <w:szCs w:val="24"/>
        </w:rPr>
        <w:br w:type="page"/>
      </w:r>
    </w:p>
    <w:p w14:paraId="14CE7291"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Material 5</w:t>
      </w:r>
      <w:r>
        <w:rPr>
          <w:rFonts w:ascii="Times New Roman" w:eastAsia="Times New Roman" w:hAnsi="Times New Roman" w:cs="Times New Roman"/>
          <w:sz w:val="24"/>
          <w:szCs w:val="24"/>
        </w:rPr>
        <w:t>. Case study - Limited introgression of hatchery fish into native populations of Brook Trout in Great Smoky Mountains National Park.</w:t>
      </w:r>
    </w:p>
    <w:p w14:paraId="4F0DD96D" w14:textId="77777777" w:rsidR="007A06A3" w:rsidRDefault="007A06A3" w:rsidP="007A06A3">
      <w:pPr>
        <w:spacing w:after="0"/>
        <w:rPr>
          <w:rFonts w:ascii="Times New Roman" w:eastAsia="Times New Roman" w:hAnsi="Times New Roman" w:cs="Times New Roman"/>
          <w:sz w:val="24"/>
          <w:szCs w:val="24"/>
        </w:rPr>
      </w:pPr>
    </w:p>
    <w:p w14:paraId="615AFFA4" w14:textId="77777777" w:rsidR="007A06A3" w:rsidRDefault="007A06A3" w:rsidP="007A06A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Great Smoky Mountains National Park (GRSM) provides a case study that exemplifies the relevance of our findings for management and integrates lines of evidence from previous work.</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Managers stocked Brook Trout raised in Park hatcheries throughout Park streams from 1936 (King 1939) through 1975 (Kulp and Moore 2005). During the 1930s, roughly 150,000 Brook Trout were stocked annually into 320 km of GRSM streams generally above 1,875 m at a rate of 300–600 Brook Trout per km (King 1939). Fingerlings came from York Ponds (NH), Berlin National Fish Hatchery (NFH) (NH), Walhalla NFH (SC), Erwin NFH (TN), Pisgah NFH (NC) or Kephart Hatchery in GRSM. Historical stocking records indicate that most Brook Trout broodstock originated from the Berlin strain; however, Brook Trout from local GRSM source streams, as well as the hatchery stocks mentioned above often were used as broodfish (D.C. Booth National Fish Hatchery, SD and GRSM archives). </w:t>
      </w:r>
    </w:p>
    <w:p w14:paraId="7B0E16A2"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bookmarkStart w:id="0" w:name="_heading=h.2et92p0" w:colFirst="0" w:colLast="0"/>
      <w:bookmarkEnd w:id="0"/>
    </w:p>
    <w:p w14:paraId="66873FCF" w14:textId="77777777" w:rsidR="007A06A3" w:rsidRPr="00254E0E" w:rsidRDefault="007A06A3" w:rsidP="007A06A3">
      <w:pPr>
        <w:widowControl w:val="0"/>
        <w:spacing w:after="0" w:line="480" w:lineRule="auto"/>
        <w:ind w:firstLine="720"/>
        <w:rPr>
          <w:rFonts w:ascii="Times New Roman" w:eastAsia="Times New Roman" w:hAnsi="Times New Roman" w:cs="Times New Roman"/>
          <w:sz w:val="24"/>
          <w:szCs w:val="24"/>
        </w:rPr>
      </w:pPr>
      <w:bookmarkStart w:id="1" w:name="_heading=h.tyjcwt" w:colFirst="0" w:colLast="0"/>
      <w:bookmarkEnd w:id="1"/>
      <w:r>
        <w:rPr>
          <w:rFonts w:ascii="Times New Roman" w:eastAsia="Times New Roman" w:hAnsi="Times New Roman" w:cs="Times New Roman"/>
          <w:sz w:val="24"/>
          <w:szCs w:val="24"/>
        </w:rPr>
        <w:t xml:space="preserve">Within GRSM, archival hatchery records indicate that between 1936–1974 approximately 166,853 hatchery-reared Brook Trout were stocked into 15 of the 53 (28%) streams sampled in this study. Microsatellite analysis indicates the presence of hatchery alleles in two of the 15 streams (13.3%) at all levels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in </w:t>
      </w:r>
      <w:r w:rsidRPr="00254E0E">
        <w:rPr>
          <w:rFonts w:ascii="Times New Roman" w:eastAsia="Times New Roman" w:hAnsi="Times New Roman" w:cs="Times New Roman"/>
          <w:sz w:val="24"/>
          <w:szCs w:val="24"/>
        </w:rPr>
        <w:t xml:space="preserve">STRUCTURE and </w:t>
      </w:r>
      <w:r w:rsidRPr="00254E0E">
        <w:rPr>
          <w:rFonts w:ascii="Times New Roman" w:eastAsia="Times New Roman" w:hAnsi="Times New Roman" w:cs="Times New Roman"/>
          <w:i/>
          <w:sz w:val="24"/>
          <w:szCs w:val="24"/>
        </w:rPr>
        <w:t>K</w:t>
      </w:r>
      <w:r w:rsidRPr="00254E0E">
        <w:rPr>
          <w:rFonts w:ascii="Times New Roman" w:hAnsi="Times New Roman" w:cs="Times New Roman"/>
          <w:sz w:val="24"/>
          <w:szCs w:val="24"/>
        </w:rPr>
        <w:t xml:space="preserve"> ≥ 7 in DAPC (Walker Camp Prong, 14,657 fish stocked; and Indian Flats Prong, 840). Hatchery alleles represented &lt;50% of alleles in both streams. At </w:t>
      </w:r>
      <w:r w:rsidRPr="00254E0E">
        <w:rPr>
          <w:rFonts w:ascii="Times New Roman" w:hAnsi="Times New Roman" w:cs="Times New Roman"/>
          <w:i/>
          <w:iCs/>
          <w:sz w:val="24"/>
          <w:szCs w:val="24"/>
        </w:rPr>
        <w:t>K</w:t>
      </w:r>
      <w:r w:rsidRPr="00254E0E">
        <w:rPr>
          <w:rFonts w:ascii="Times New Roman" w:hAnsi="Times New Roman" w:cs="Times New Roman"/>
          <w:sz w:val="24"/>
          <w:szCs w:val="24"/>
        </w:rPr>
        <w:t xml:space="preserve"> ≥ 7 in STRUCTURE, our results indicate the presence of hatchery alleles in three additional streams (five of 15; 33.3%). The numbers of fish stocked in those three additional streams were as follow</w:t>
      </w:r>
      <w:r>
        <w:rPr>
          <w:rFonts w:ascii="Times New Roman" w:hAnsi="Times New Roman" w:cs="Times New Roman"/>
          <w:sz w:val="24"/>
          <w:szCs w:val="24"/>
        </w:rPr>
        <w:t>s</w:t>
      </w:r>
      <w:r w:rsidRPr="00254E0E">
        <w:rPr>
          <w:rFonts w:ascii="Times New Roman" w:hAnsi="Times New Roman" w:cs="Times New Roman"/>
          <w:sz w:val="24"/>
          <w:szCs w:val="24"/>
        </w:rPr>
        <w:t xml:space="preserve">: Road Prong, 23,873; Kephart Prong, a tributary to Walker Camp Prong, 14,657; and Huggins Creek, 12,349. Hatchery alleles represent &lt;17% of alleles in each stream. Despite extensive hatchery stocking (range: 840–23,310 stocked) in the remaining </w:t>
      </w:r>
      <w:r w:rsidRPr="00254E0E">
        <w:rPr>
          <w:rFonts w:ascii="Times New Roman" w:hAnsi="Times New Roman" w:cs="Times New Roman"/>
          <w:sz w:val="24"/>
          <w:szCs w:val="24"/>
        </w:rPr>
        <w:lastRenderedPageBreak/>
        <w:t xml:space="preserve">10 streams, there was no evidence of hatchery introgression at any level of </w:t>
      </w:r>
      <w:r w:rsidRPr="00254E0E">
        <w:rPr>
          <w:rFonts w:ascii="Times New Roman" w:eastAsia="Times New Roman" w:hAnsi="Times New Roman" w:cs="Times New Roman"/>
          <w:i/>
          <w:sz w:val="24"/>
          <w:szCs w:val="24"/>
        </w:rPr>
        <w:t>K</w:t>
      </w:r>
      <w:r w:rsidRPr="00254E0E">
        <w:rPr>
          <w:rFonts w:ascii="Times New Roman" w:eastAsia="Times New Roman" w:hAnsi="Times New Roman" w:cs="Times New Roman"/>
          <w:sz w:val="24"/>
          <w:szCs w:val="24"/>
        </w:rPr>
        <w:t xml:space="preserve"> for STRUCTURE or DAPC. </w:t>
      </w:r>
    </w:p>
    <w:p w14:paraId="6DA7C4E2"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p>
    <w:p w14:paraId="58390664"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levels of introgression of hatchery-derived background observed in Walker Camp Prong, Road Prong, Kephart Prong, and Indian Flats Prong populations are not unexpected. Walker Prong, Kephart Prong, and Road Prong are all headwater tributaries to the West Prong Little Pigeon River. Besides the 14,657 Brook Trout stocked into Walker Camp Prong over seven years between 1936–1974, an additional 56,328 Brook Trout were stocked into West Prong Little Pigeon River over 17 years during this same period. Also, the U.S. Fish and Wildlife Service and National Park Service produced Brook Trout at a hatchery on West Prong Little Pigeon River just downstream of the confluence with Road Prong from roughly 1940–1965. Hatchery escape most likely added more Brook Trout to the system during these years. The Indian Flats Prong (Middle Prong Little River) watershed was being logged when the park was established in 1934. The heavy timber cut likely reduced Brook Trout abundance; therefore, 840 Brook Trout were stocked in the stream in 1936. The presence of hatchery and local alleles may indicate that hatchery fish were stocked onto an existing native population or native Brook Trout were mixed within the hatchery broodstock. Of the remaining 38 GRSM streams with molecular genetic data, there appeared to be no significant hatchery Brook Trout introgression within wild GRSM Brook Trout populations. Previous studies (</w:t>
      </w:r>
      <w:proofErr w:type="spellStart"/>
      <w:r>
        <w:rPr>
          <w:rFonts w:ascii="Times New Roman" w:eastAsia="Times New Roman" w:hAnsi="Times New Roman" w:cs="Times New Roman"/>
          <w:sz w:val="24"/>
          <w:szCs w:val="24"/>
        </w:rPr>
        <w:t>Danzmann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Ihssen</w:t>
      </w:r>
      <w:proofErr w:type="spellEnd"/>
      <w:r>
        <w:rPr>
          <w:rFonts w:ascii="Times New Roman" w:eastAsia="Times New Roman" w:hAnsi="Times New Roman" w:cs="Times New Roman"/>
          <w:sz w:val="24"/>
          <w:szCs w:val="24"/>
        </w:rPr>
        <w:t xml:space="preserve"> 1995; Jones et al. 1996; Burnham-Curtis 2001; </w:t>
      </w:r>
      <w:proofErr w:type="spellStart"/>
      <w:r>
        <w:rPr>
          <w:rFonts w:ascii="Times New Roman" w:eastAsia="Times New Roman" w:hAnsi="Times New Roman" w:cs="Times New Roman"/>
          <w:sz w:val="24"/>
          <w:szCs w:val="24"/>
        </w:rPr>
        <w:t>Kazyak</w:t>
      </w:r>
      <w:proofErr w:type="spellEnd"/>
      <w:r>
        <w:rPr>
          <w:rFonts w:ascii="Times New Roman" w:eastAsia="Times New Roman" w:hAnsi="Times New Roman" w:cs="Times New Roman"/>
          <w:sz w:val="24"/>
          <w:szCs w:val="24"/>
        </w:rPr>
        <w:t xml:space="preserve"> et al. 2018; Beer et al. 2019; Lehnert et al. 2020) also have indicated limited levels of hatchery Brook Trout introgression with wild populations despite extensive stocking histories.</w:t>
      </w:r>
    </w:p>
    <w:p w14:paraId="1EB70093" w14:textId="77777777" w:rsidR="007A06A3" w:rsidRDefault="007A06A3" w:rsidP="007A06A3">
      <w:pPr>
        <w:spacing w:after="0"/>
        <w:rPr>
          <w:rFonts w:ascii="Times New Roman" w:eastAsia="Times New Roman" w:hAnsi="Times New Roman" w:cs="Times New Roman"/>
          <w:b/>
          <w:sz w:val="24"/>
          <w:szCs w:val="24"/>
        </w:rPr>
      </w:pPr>
    </w:p>
    <w:p w14:paraId="6D9DBD80" w14:textId="68FBC37B" w:rsidR="007A06A3" w:rsidRPr="00D552CC" w:rsidRDefault="007A06A3" w:rsidP="007A06A3">
      <w:pPr>
        <w:spacing w:after="0" w:line="276" w:lineRule="auto"/>
        <w:rPr>
          <w:rFonts w:ascii="Times New Roman" w:hAnsi="Times New Roman" w:cs="Times New Roman"/>
          <w:b/>
          <w:bCs/>
          <w:sz w:val="24"/>
          <w:szCs w:val="24"/>
        </w:rPr>
      </w:pPr>
      <w:r>
        <w:br w:type="page"/>
      </w:r>
      <w:r w:rsidR="00DF4CE2" w:rsidRPr="00D552CC">
        <w:rPr>
          <w:rFonts w:ascii="Times New Roman" w:hAnsi="Times New Roman" w:cs="Times New Roman"/>
          <w:b/>
          <w:bCs/>
          <w:sz w:val="24"/>
          <w:szCs w:val="24"/>
        </w:rPr>
        <w:lastRenderedPageBreak/>
        <w:t>Supplemental References</w:t>
      </w:r>
    </w:p>
    <w:p w14:paraId="2571B609" w14:textId="77777777" w:rsidR="00DF4CE2" w:rsidRPr="00D552CC" w:rsidRDefault="00DF4CE2" w:rsidP="007A06A3">
      <w:pPr>
        <w:spacing w:after="0" w:line="276" w:lineRule="auto"/>
        <w:rPr>
          <w:rFonts w:ascii="Times New Roman" w:eastAsia="Times New Roman" w:hAnsi="Times New Roman" w:cs="Times New Roman"/>
          <w:b/>
          <w:bCs/>
          <w:sz w:val="24"/>
          <w:szCs w:val="24"/>
        </w:rPr>
      </w:pPr>
    </w:p>
    <w:p w14:paraId="12B08F38" w14:textId="258FBDC9" w:rsidR="00BA0596" w:rsidRPr="00D552CC" w:rsidRDefault="00BA0596"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Beer, S. D., S. Cornett, P. Austerman, B. Trometer, T. Hoffman, and M. L. Bartron. 2019. Genetic diversity, admixture, and hatchery influence in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xml:space="preserve">) throughout western New York </w:t>
      </w:r>
      <w:r w:rsidR="00D552CC">
        <w:rPr>
          <w:rFonts w:ascii="Times New Roman" w:hAnsi="Times New Roman" w:cs="Times New Roman"/>
          <w:sz w:val="24"/>
          <w:szCs w:val="24"/>
        </w:rPr>
        <w:t>s</w:t>
      </w:r>
      <w:r w:rsidRPr="00D552CC">
        <w:rPr>
          <w:rFonts w:ascii="Times New Roman" w:hAnsi="Times New Roman" w:cs="Times New Roman"/>
          <w:sz w:val="24"/>
          <w:szCs w:val="24"/>
        </w:rPr>
        <w:t>tate. Ecology and Evolution 9:7455–7479.</w:t>
      </w:r>
    </w:p>
    <w:p w14:paraId="4D612A35" w14:textId="77777777" w:rsidR="00BA0596" w:rsidRPr="00D552CC" w:rsidRDefault="00BA0596" w:rsidP="007A06A3">
      <w:pPr>
        <w:spacing w:after="0" w:line="276" w:lineRule="auto"/>
        <w:rPr>
          <w:rFonts w:ascii="Times New Roman" w:hAnsi="Times New Roman" w:cs="Times New Roman"/>
          <w:sz w:val="24"/>
          <w:szCs w:val="24"/>
        </w:rPr>
      </w:pPr>
    </w:p>
    <w:p w14:paraId="707A69FA" w14:textId="1A731E61" w:rsidR="00BA0596" w:rsidRPr="00D552CC" w:rsidRDefault="00BA0596" w:rsidP="007A06A3">
      <w:pPr>
        <w:spacing w:after="0" w:line="276" w:lineRule="auto"/>
        <w:rPr>
          <w:rStyle w:val="otherdata"/>
          <w:rFonts w:ascii="Times New Roman" w:hAnsi="Times New Roman" w:cs="Times New Roman"/>
          <w:sz w:val="24"/>
          <w:szCs w:val="24"/>
        </w:rPr>
      </w:pPr>
      <w:r w:rsidRPr="00D552CC">
        <w:rPr>
          <w:rStyle w:val="author"/>
          <w:rFonts w:ascii="Times New Roman" w:hAnsi="Times New Roman" w:cs="Times New Roman"/>
          <w:sz w:val="24"/>
          <w:szCs w:val="24"/>
        </w:rPr>
        <w:t>Burnham‐Curtis, M.</w:t>
      </w:r>
      <w:r w:rsidRPr="00D552CC">
        <w:rPr>
          <w:rFonts w:ascii="Times New Roman" w:hAnsi="Times New Roman" w:cs="Times New Roman"/>
          <w:sz w:val="24"/>
          <w:szCs w:val="24"/>
        </w:rPr>
        <w:t xml:space="preserve"> </w:t>
      </w:r>
      <w:r w:rsidRPr="00D552CC">
        <w:rPr>
          <w:rStyle w:val="otherdata"/>
          <w:rFonts w:ascii="Times New Roman" w:hAnsi="Times New Roman" w:cs="Times New Roman"/>
          <w:sz w:val="24"/>
          <w:szCs w:val="24"/>
        </w:rPr>
        <w:t xml:space="preserve">2001. Genetic profiles of selected Brook Trout </w:t>
      </w:r>
      <w:r w:rsidRPr="00D552CC">
        <w:rPr>
          <w:rStyle w:val="otherdata"/>
          <w:rFonts w:ascii="Times New Roman" w:hAnsi="Times New Roman" w:cs="Times New Roman"/>
          <w:i/>
          <w:iCs/>
          <w:sz w:val="24"/>
          <w:szCs w:val="24"/>
        </w:rPr>
        <w:t>Salvelinus fontinalis</w:t>
      </w:r>
      <w:r w:rsidRPr="00D552CC">
        <w:rPr>
          <w:rStyle w:val="otherdata"/>
          <w:rFonts w:ascii="Times New Roman" w:hAnsi="Times New Roman" w:cs="Times New Roman"/>
          <w:sz w:val="24"/>
          <w:szCs w:val="24"/>
        </w:rPr>
        <w:t xml:space="preserve"> populations from Lake Superior, Lake Huron and selected hatcheries. U.S. Fish and Wildlife Service, Ashland Fisheries Resource Office, Ashland, Wisconsin, and Great Lakes Science Center, Ann Arbor, Michigan.</w:t>
      </w:r>
    </w:p>
    <w:p w14:paraId="7ECB79A6" w14:textId="77777777" w:rsidR="00BA0596" w:rsidRPr="00D552CC" w:rsidRDefault="00BA0596" w:rsidP="007A06A3">
      <w:pPr>
        <w:spacing w:after="0" w:line="276" w:lineRule="auto"/>
        <w:rPr>
          <w:rStyle w:val="otherdata"/>
          <w:rFonts w:ascii="Times New Roman" w:hAnsi="Times New Roman" w:cs="Times New Roman"/>
          <w:sz w:val="24"/>
          <w:szCs w:val="24"/>
        </w:rPr>
      </w:pPr>
    </w:p>
    <w:p w14:paraId="3D5DD37E" w14:textId="23408F70" w:rsidR="00BA0596" w:rsidRPr="00D552CC" w:rsidRDefault="00BA0596"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Danzmann</w:t>
      </w:r>
      <w:proofErr w:type="spellEnd"/>
      <w:r w:rsidRPr="00D552CC">
        <w:rPr>
          <w:rFonts w:ascii="Times New Roman" w:hAnsi="Times New Roman" w:cs="Times New Roman"/>
          <w:sz w:val="24"/>
          <w:szCs w:val="24"/>
        </w:rPr>
        <w:t xml:space="preserve">, R. G., and P. E. </w:t>
      </w:r>
      <w:proofErr w:type="spellStart"/>
      <w:r w:rsidRPr="00D552CC">
        <w:rPr>
          <w:rFonts w:ascii="Times New Roman" w:hAnsi="Times New Roman" w:cs="Times New Roman"/>
          <w:sz w:val="24"/>
          <w:szCs w:val="24"/>
        </w:rPr>
        <w:t>Ihssen</w:t>
      </w:r>
      <w:proofErr w:type="spellEnd"/>
      <w:r w:rsidRPr="00D552CC">
        <w:rPr>
          <w:rFonts w:ascii="Times New Roman" w:hAnsi="Times New Roman" w:cs="Times New Roman"/>
          <w:sz w:val="24"/>
          <w:szCs w:val="24"/>
        </w:rPr>
        <w:t>. 1995. A phylogeographic survey of Brook Charr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in Algonquin Park, Ontario based upon mitochondrial DNA variation. Molecular Ecology 4:681–697.</w:t>
      </w:r>
    </w:p>
    <w:p w14:paraId="06F442A2" w14:textId="77777777" w:rsidR="00BA0596" w:rsidRPr="00D552CC" w:rsidRDefault="00BA0596" w:rsidP="007A06A3">
      <w:pPr>
        <w:spacing w:after="0" w:line="276" w:lineRule="auto"/>
        <w:rPr>
          <w:rFonts w:ascii="Times New Roman" w:hAnsi="Times New Roman" w:cs="Times New Roman"/>
          <w:sz w:val="24"/>
          <w:szCs w:val="24"/>
        </w:rPr>
      </w:pPr>
    </w:p>
    <w:p w14:paraId="53FD237F" w14:textId="406D54DF" w:rsidR="00DF4CE2" w:rsidRPr="00D552CC" w:rsidRDefault="00DF4CE2"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Evanno</w:t>
      </w:r>
      <w:proofErr w:type="spellEnd"/>
      <w:r w:rsidRPr="00D552CC">
        <w:rPr>
          <w:rFonts w:ascii="Times New Roman" w:hAnsi="Times New Roman" w:cs="Times New Roman"/>
          <w:sz w:val="24"/>
          <w:szCs w:val="24"/>
        </w:rPr>
        <w:t xml:space="preserve">, G., S. </w:t>
      </w:r>
      <w:proofErr w:type="spellStart"/>
      <w:r w:rsidRPr="00D552CC">
        <w:rPr>
          <w:rFonts w:ascii="Times New Roman" w:hAnsi="Times New Roman" w:cs="Times New Roman"/>
          <w:sz w:val="24"/>
          <w:szCs w:val="24"/>
        </w:rPr>
        <w:t>Regnaut</w:t>
      </w:r>
      <w:proofErr w:type="spellEnd"/>
      <w:r w:rsidRPr="00D552CC">
        <w:rPr>
          <w:rFonts w:ascii="Times New Roman" w:hAnsi="Times New Roman" w:cs="Times New Roman"/>
          <w:sz w:val="24"/>
          <w:szCs w:val="24"/>
        </w:rPr>
        <w:t>, and J. Goudet. 2005. Detecting the number of clusters of individuals using the software STRUCTURE: a simulation study. Molecular Ecology 14:2611–2620.</w:t>
      </w:r>
    </w:p>
    <w:p w14:paraId="5E0C13EA" w14:textId="77777777" w:rsidR="00DF4CE2" w:rsidRPr="00D552CC" w:rsidRDefault="00DF4CE2" w:rsidP="007A06A3">
      <w:pPr>
        <w:spacing w:after="0" w:line="276" w:lineRule="auto"/>
        <w:rPr>
          <w:rFonts w:ascii="Times New Roman" w:hAnsi="Times New Roman" w:cs="Times New Roman"/>
          <w:sz w:val="24"/>
          <w:szCs w:val="24"/>
        </w:rPr>
      </w:pPr>
    </w:p>
    <w:p w14:paraId="7DDE03E8" w14:textId="6F476045" w:rsidR="00BA0596" w:rsidRPr="00D552CC" w:rsidRDefault="00BA0596"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Jones, M. W., D. Clay, and R. G. </w:t>
      </w:r>
      <w:proofErr w:type="spellStart"/>
      <w:r w:rsidRPr="00D552CC">
        <w:rPr>
          <w:rFonts w:ascii="Times New Roman" w:hAnsi="Times New Roman" w:cs="Times New Roman"/>
          <w:sz w:val="24"/>
          <w:szCs w:val="24"/>
        </w:rPr>
        <w:t>Danzmann</w:t>
      </w:r>
      <w:proofErr w:type="spellEnd"/>
      <w:r w:rsidRPr="00D552CC">
        <w:rPr>
          <w:rFonts w:ascii="Times New Roman" w:hAnsi="Times New Roman" w:cs="Times New Roman"/>
          <w:sz w:val="24"/>
          <w:szCs w:val="24"/>
        </w:rPr>
        <w:t>. 1996. Conservation genetics of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population structuring in Fundy National Park, New Brunswick, and eastern Canada. Canadian Journal of Fisheries and Aquatic Sciences 53:2776–2791.</w:t>
      </w:r>
    </w:p>
    <w:p w14:paraId="20452A9C" w14:textId="77777777" w:rsidR="00BA0596" w:rsidRPr="00D552CC" w:rsidRDefault="00BA0596" w:rsidP="007A06A3">
      <w:pPr>
        <w:spacing w:after="0" w:line="276" w:lineRule="auto"/>
        <w:rPr>
          <w:rFonts w:ascii="Times New Roman" w:hAnsi="Times New Roman" w:cs="Times New Roman"/>
          <w:sz w:val="24"/>
          <w:szCs w:val="24"/>
        </w:rPr>
      </w:pPr>
    </w:p>
    <w:p w14:paraId="025F026D" w14:textId="77777777" w:rsidR="00BA0596" w:rsidRPr="00D552CC" w:rsidRDefault="00BA0596"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Kazyak</w:t>
      </w:r>
      <w:proofErr w:type="spellEnd"/>
      <w:r w:rsidRPr="00D552CC">
        <w:rPr>
          <w:rFonts w:ascii="Times New Roman" w:hAnsi="Times New Roman" w:cs="Times New Roman"/>
          <w:sz w:val="24"/>
          <w:szCs w:val="24"/>
        </w:rPr>
        <w:t>, D. C., J. Rash, B. A. Lubinski, and T. L. King. 2018. Assessing the impact of stocking northern origin hatchery Brook Trout on the genetics of wild populations in North Carolina. Conservation Genetics 19:207–219.</w:t>
      </w:r>
    </w:p>
    <w:p w14:paraId="457A0541" w14:textId="77777777" w:rsidR="00BA0596" w:rsidRPr="00D552CC" w:rsidRDefault="00BA0596" w:rsidP="007A06A3">
      <w:pPr>
        <w:spacing w:after="0" w:line="276" w:lineRule="auto"/>
        <w:rPr>
          <w:rFonts w:ascii="Times New Roman" w:hAnsi="Times New Roman" w:cs="Times New Roman"/>
          <w:sz w:val="24"/>
          <w:szCs w:val="24"/>
        </w:rPr>
      </w:pPr>
    </w:p>
    <w:p w14:paraId="2556C2E1" w14:textId="66C165FB"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King, W. 1939. A program for the management of fish resources in Great Smoky Mountains National Park. Transactions of the American Fisheries Society 68:86–95.</w:t>
      </w:r>
    </w:p>
    <w:p w14:paraId="0B1D521B" w14:textId="7EE3877C" w:rsidR="00DF4CE2" w:rsidRPr="00D552CC" w:rsidRDefault="00DF4CE2" w:rsidP="007A06A3">
      <w:pPr>
        <w:spacing w:after="0" w:line="276" w:lineRule="auto"/>
        <w:rPr>
          <w:rFonts w:ascii="Times New Roman" w:hAnsi="Times New Roman" w:cs="Times New Roman"/>
          <w:sz w:val="24"/>
          <w:szCs w:val="24"/>
        </w:rPr>
      </w:pPr>
    </w:p>
    <w:p w14:paraId="79D18A4B" w14:textId="38CDBB49"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Kulp, M. A., and S. E. Moore. 2005. A case history in fishing regulations in Great Smoky Mountains National Park: 1934–2004. North American Journal of Fisheries Management 25:510–524.</w:t>
      </w:r>
    </w:p>
    <w:p w14:paraId="7CCF49EA" w14:textId="77777777" w:rsidR="00DF4CE2" w:rsidRPr="00D552CC" w:rsidRDefault="00DF4CE2" w:rsidP="007A06A3">
      <w:pPr>
        <w:spacing w:after="0" w:line="276" w:lineRule="auto"/>
        <w:rPr>
          <w:rFonts w:ascii="Times New Roman" w:hAnsi="Times New Roman" w:cs="Times New Roman"/>
          <w:sz w:val="24"/>
          <w:szCs w:val="24"/>
        </w:rPr>
      </w:pPr>
    </w:p>
    <w:p w14:paraId="52912802" w14:textId="77777777" w:rsidR="00D552CC" w:rsidRPr="00D552CC" w:rsidRDefault="00D552CC"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Lehnert, S. J., S. M. Baillie, J. MacMillan, I. G. Paterson, C. F. </w:t>
      </w:r>
      <w:proofErr w:type="spellStart"/>
      <w:r w:rsidRPr="00D552CC">
        <w:rPr>
          <w:rFonts w:ascii="Times New Roman" w:hAnsi="Times New Roman" w:cs="Times New Roman"/>
          <w:sz w:val="24"/>
          <w:szCs w:val="24"/>
        </w:rPr>
        <w:t>Buhariwalla</w:t>
      </w:r>
      <w:proofErr w:type="spellEnd"/>
      <w:r w:rsidRPr="00D552CC">
        <w:rPr>
          <w:rFonts w:ascii="Times New Roman" w:hAnsi="Times New Roman" w:cs="Times New Roman"/>
          <w:sz w:val="24"/>
          <w:szCs w:val="24"/>
        </w:rPr>
        <w:t>, I. R. Bradbury, and P. Bentzen. 2020. Multiple decades of stocking has resulted in limited hatchery introgression in wild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populations of Nova Scotia. Evolutionary Applications 13:1069–1089</w:t>
      </w:r>
    </w:p>
    <w:p w14:paraId="3C74BB2A" w14:textId="77777777" w:rsidR="00D552CC" w:rsidRPr="00D552CC" w:rsidRDefault="00D552CC" w:rsidP="007A06A3">
      <w:pPr>
        <w:spacing w:after="0" w:line="276" w:lineRule="auto"/>
        <w:rPr>
          <w:rFonts w:ascii="Times New Roman" w:hAnsi="Times New Roman" w:cs="Times New Roman"/>
          <w:sz w:val="24"/>
          <w:szCs w:val="24"/>
        </w:rPr>
      </w:pPr>
    </w:p>
    <w:p w14:paraId="1D87315C" w14:textId="25B8C545"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Pritchard, J. K., M. Stephens, and P. Donnelly. 2000. Inference of population structure using </w:t>
      </w:r>
      <w:proofErr w:type="spellStart"/>
      <w:r w:rsidRPr="00D552CC">
        <w:rPr>
          <w:rFonts w:ascii="Times New Roman" w:hAnsi="Times New Roman" w:cs="Times New Roman"/>
          <w:sz w:val="24"/>
          <w:szCs w:val="24"/>
        </w:rPr>
        <w:t>multilocus</w:t>
      </w:r>
      <w:proofErr w:type="spellEnd"/>
      <w:r w:rsidRPr="00D552CC">
        <w:rPr>
          <w:rFonts w:ascii="Times New Roman" w:hAnsi="Times New Roman" w:cs="Times New Roman"/>
          <w:sz w:val="24"/>
          <w:szCs w:val="24"/>
        </w:rPr>
        <w:t xml:space="preserve"> genotype data. Genetics 155:945–959.</w:t>
      </w:r>
    </w:p>
    <w:p w14:paraId="7D6846EA" w14:textId="2475704D" w:rsidR="00DF4CE2" w:rsidRPr="00D552CC" w:rsidRDefault="00DF4CE2" w:rsidP="007A06A3">
      <w:pPr>
        <w:spacing w:after="0" w:line="276" w:lineRule="auto"/>
        <w:rPr>
          <w:rFonts w:ascii="Times New Roman" w:hAnsi="Times New Roman" w:cs="Times New Roman"/>
          <w:sz w:val="24"/>
          <w:szCs w:val="24"/>
        </w:rPr>
      </w:pPr>
    </w:p>
    <w:p w14:paraId="48620606" w14:textId="59758AFC" w:rsidR="00DF4CE2" w:rsidRPr="00D552CC" w:rsidRDefault="00DF4CE2" w:rsidP="007A06A3">
      <w:pPr>
        <w:spacing w:after="0" w:line="276" w:lineRule="auto"/>
        <w:rPr>
          <w:rFonts w:ascii="Times New Roman" w:eastAsia="Times New Roman" w:hAnsi="Times New Roman" w:cs="Times New Roman"/>
          <w:b/>
          <w:bCs/>
          <w:sz w:val="24"/>
          <w:szCs w:val="24"/>
        </w:rPr>
      </w:pPr>
      <w:proofErr w:type="spellStart"/>
      <w:r w:rsidRPr="00D552CC">
        <w:rPr>
          <w:rFonts w:ascii="Times New Roman" w:hAnsi="Times New Roman" w:cs="Times New Roman"/>
          <w:sz w:val="24"/>
          <w:szCs w:val="24"/>
        </w:rPr>
        <w:t>Puechmaille</w:t>
      </w:r>
      <w:proofErr w:type="spellEnd"/>
      <w:r w:rsidRPr="00D552CC">
        <w:rPr>
          <w:rFonts w:ascii="Times New Roman" w:hAnsi="Times New Roman" w:cs="Times New Roman"/>
          <w:sz w:val="24"/>
          <w:szCs w:val="24"/>
        </w:rPr>
        <w:t>, S. J. 2016. The program STRUCTURE does not reliably recover the correct population structure when sampling is uneven: subsampling and new estimators alleviate the problem. Molecular Ecology Resources 16:608–627.</w:t>
      </w:r>
    </w:p>
    <w:sectPr w:rsidR="00DF4CE2" w:rsidRPr="00D552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C6"/>
    <w:rsid w:val="004249C6"/>
    <w:rsid w:val="007304FE"/>
    <w:rsid w:val="0075446E"/>
    <w:rsid w:val="007831A3"/>
    <w:rsid w:val="007A06A3"/>
    <w:rsid w:val="008B701A"/>
    <w:rsid w:val="00B56519"/>
    <w:rsid w:val="00BA0596"/>
    <w:rsid w:val="00D552CC"/>
    <w:rsid w:val="00DC6FAA"/>
    <w:rsid w:val="00DF4CE2"/>
    <w:rsid w:val="00ED2BF1"/>
    <w:rsid w:val="00ED3006"/>
    <w:rsid w:val="00ED44F5"/>
    <w:rsid w:val="00F264D8"/>
    <w:rsid w:val="00F96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70D5"/>
  <w15:chartTrackingRefBased/>
  <w15:docId w15:val="{7858987B-D91E-4FF6-9C43-40330022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6A3"/>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A0596"/>
    <w:rPr>
      <w:i/>
      <w:iCs/>
    </w:rPr>
  </w:style>
  <w:style w:type="character" w:customStyle="1" w:styleId="author">
    <w:name w:val="author"/>
    <w:basedOn w:val="DefaultParagraphFont"/>
    <w:rsid w:val="00BA0596"/>
  </w:style>
  <w:style w:type="character" w:customStyle="1" w:styleId="otherdata">
    <w:name w:val="otherdata"/>
    <w:basedOn w:val="DefaultParagraphFont"/>
    <w:rsid w:val="00BA0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ecosheds.org:3411/bk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2238</Words>
  <Characters>12490</Characters>
  <Application>Microsoft Office Word</Application>
  <DocSecurity>0</DocSecurity>
  <Lines>345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dc:creator>
  <cp:keywords/>
  <dc:description/>
  <cp:lastModifiedBy>McCall, John</cp:lastModifiedBy>
  <cp:revision>7</cp:revision>
  <dcterms:created xsi:type="dcterms:W3CDTF">2021-12-17T17:30:00Z</dcterms:created>
  <dcterms:modified xsi:type="dcterms:W3CDTF">2026-04-04T19:24:00Z</dcterms:modified>
</cp:coreProperties>
</file>