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DB550" w14:textId="77777777" w:rsidR="00862A98" w:rsidRPr="00976DA9" w:rsidRDefault="00862A98" w:rsidP="00BC571D">
      <w:pPr>
        <w:spacing w:line="360" w:lineRule="auto"/>
        <w:contextualSpacing/>
        <w:rPr>
          <w:rFonts w:ascii="Times New Roman" w:hAnsi="Times New Roman" w:cs="Times New Roman"/>
          <w:b/>
          <w:sz w:val="24"/>
          <w:szCs w:val="24"/>
        </w:rPr>
      </w:pPr>
      <w:r w:rsidRPr="00976DA9">
        <w:rPr>
          <w:rFonts w:ascii="Times New Roman" w:hAnsi="Times New Roman" w:cs="Times New Roman"/>
          <w:b/>
          <w:sz w:val="24"/>
          <w:szCs w:val="24"/>
        </w:rPr>
        <w:t xml:space="preserve">DeHaan et al. Supplement </w:t>
      </w:r>
      <w:r>
        <w:rPr>
          <w:rFonts w:ascii="Times New Roman" w:hAnsi="Times New Roman" w:cs="Times New Roman"/>
          <w:b/>
          <w:sz w:val="24"/>
          <w:szCs w:val="24"/>
        </w:rPr>
        <w:t>A</w:t>
      </w:r>
      <w:r w:rsidRPr="00976DA9">
        <w:rPr>
          <w:rFonts w:ascii="Times New Roman" w:hAnsi="Times New Roman" w:cs="Times New Roman"/>
          <w:b/>
          <w:sz w:val="24"/>
          <w:szCs w:val="24"/>
        </w:rPr>
        <w:t>1</w:t>
      </w:r>
    </w:p>
    <w:p w14:paraId="1B6DB551" w14:textId="77777777" w:rsidR="00862A98" w:rsidRDefault="00862A98" w:rsidP="00BC571D">
      <w:pPr>
        <w:spacing w:line="360" w:lineRule="auto"/>
        <w:contextualSpacing/>
        <w:rPr>
          <w:rFonts w:ascii="Times New Roman" w:hAnsi="Times New Roman" w:cs="Times New Roman"/>
          <w:sz w:val="24"/>
          <w:szCs w:val="24"/>
        </w:rPr>
      </w:pPr>
      <w:r w:rsidRPr="00976DA9">
        <w:rPr>
          <w:rFonts w:ascii="Times New Roman" w:hAnsi="Times New Roman" w:cs="Times New Roman"/>
          <w:sz w:val="24"/>
          <w:szCs w:val="24"/>
        </w:rPr>
        <w:t>Our collection from Honey Creek included 19 individuals from Snyder Creek (a tributary to Honey Creek; see Figure 1). We were unsure if Honey and Snyder creeks represented a single population or if each tributary contained a genetically distinct spawning population. We initially grouped these indivi</w:t>
      </w:r>
      <w:r>
        <w:rPr>
          <w:rFonts w:ascii="Times New Roman" w:hAnsi="Times New Roman" w:cs="Times New Roman"/>
          <w:sz w:val="24"/>
          <w:szCs w:val="24"/>
        </w:rPr>
        <w:t xml:space="preserve">duals into a single population and </w:t>
      </w:r>
      <w:r w:rsidRPr="00976DA9">
        <w:rPr>
          <w:rFonts w:ascii="Times New Roman" w:hAnsi="Times New Roman" w:cs="Times New Roman"/>
          <w:sz w:val="24"/>
          <w:szCs w:val="24"/>
        </w:rPr>
        <w:t xml:space="preserve">then tested the population for conformance to Hardy-Weinberg equilibrium (HWE) </w:t>
      </w:r>
      <w:r>
        <w:rPr>
          <w:rFonts w:ascii="Times New Roman" w:hAnsi="Times New Roman" w:cs="Times New Roman"/>
          <w:sz w:val="24"/>
          <w:szCs w:val="24"/>
        </w:rPr>
        <w:t xml:space="preserve">expectations </w:t>
      </w:r>
      <w:r w:rsidRPr="00976DA9">
        <w:rPr>
          <w:rFonts w:ascii="Times New Roman" w:hAnsi="Times New Roman" w:cs="Times New Roman"/>
          <w:sz w:val="24"/>
          <w:szCs w:val="24"/>
        </w:rPr>
        <w:t>and for evidence of linkage disequilibrium (LD) using the program GENEPOP v4.1 (Raymond and Rousset 1995). We adjusted significance values for HWE and LD tests using a sequential Bonferroni adjustment (Rice 1989). The collection had one locus (</w:t>
      </w:r>
      <w:r w:rsidRPr="00976DA9">
        <w:rPr>
          <w:rFonts w:ascii="Times New Roman" w:hAnsi="Times New Roman" w:cs="Times New Roman"/>
          <w:i/>
          <w:sz w:val="24"/>
          <w:szCs w:val="24"/>
        </w:rPr>
        <w:t>Xte23</w:t>
      </w:r>
      <w:r w:rsidRPr="00976DA9">
        <w:rPr>
          <w:rFonts w:ascii="Times New Roman" w:hAnsi="Times New Roman" w:cs="Times New Roman"/>
          <w:sz w:val="24"/>
          <w:szCs w:val="24"/>
        </w:rPr>
        <w:t>) that deviated from HWE due to an excess of heterozygotes and it showed evidence of linkage at eight pairs of loci. Deviations from HWE expectations and linkage equilibrium can result when individuals from multiple populations are pooled into a single group for analysis (i.e. Wahlund effect). We then grouped fish from Snyder Creek separately from Honey Creek in order to determine if these two tributaries represented distin</w:t>
      </w:r>
      <w:r>
        <w:rPr>
          <w:rFonts w:ascii="Times New Roman" w:hAnsi="Times New Roman" w:cs="Times New Roman"/>
          <w:sz w:val="24"/>
          <w:szCs w:val="24"/>
        </w:rPr>
        <w:t xml:space="preserve">ct populations. We conducted a </w:t>
      </w:r>
      <w:r w:rsidRPr="00976DA9">
        <w:rPr>
          <w:rFonts w:ascii="Times New Roman" w:hAnsi="Times New Roman" w:cs="Times New Roman"/>
          <w:sz w:val="24"/>
          <w:szCs w:val="24"/>
        </w:rPr>
        <w:t xml:space="preserve">multidimensional </w:t>
      </w:r>
      <w:r w:rsidRPr="00976DA9">
        <w:rPr>
          <w:rFonts w:ascii="Times New Roman" w:eastAsia="Calibri" w:hAnsi="Times New Roman" w:cs="Times New Roman"/>
          <w:sz w:val="24"/>
          <w:szCs w:val="24"/>
        </w:rPr>
        <w:t>factorial correspondence analysis (</w:t>
      </w:r>
      <w:bookmarkStart w:id="0" w:name="OLE_LINK1"/>
      <w:bookmarkStart w:id="1" w:name="OLE_LINK2"/>
      <w:r w:rsidRPr="00976DA9">
        <w:rPr>
          <w:rFonts w:ascii="Times New Roman" w:eastAsia="Calibri" w:hAnsi="Times New Roman" w:cs="Times New Roman"/>
          <w:sz w:val="24"/>
          <w:szCs w:val="24"/>
        </w:rPr>
        <w:t>FCA</w:t>
      </w:r>
      <w:bookmarkEnd w:id="0"/>
      <w:bookmarkEnd w:id="1"/>
      <w:r w:rsidRPr="00976DA9">
        <w:rPr>
          <w:rFonts w:ascii="Times New Roman" w:eastAsia="Calibri" w:hAnsi="Times New Roman" w:cs="Times New Roman"/>
          <w:sz w:val="24"/>
          <w:szCs w:val="24"/>
        </w:rPr>
        <w:t>) using the program GENETIX (Belkhir et al. 2004) to get a preliminary idea of the relationship among the two tributaries. This method makes no a priori assumptions about an individual’s population of origin and provides an unbiased graphical approach for viewing the data where individuals that are more genetically similar cluster together on the graph</w:t>
      </w:r>
      <w:r w:rsidRPr="00976DA9">
        <w:rPr>
          <w:rFonts w:ascii="Times New Roman" w:hAnsi="Times New Roman" w:cs="Times New Roman"/>
          <w:sz w:val="24"/>
          <w:szCs w:val="24"/>
        </w:rPr>
        <w:t>. We also used the program STRUCTURE (Pritchard et al. 2000) to determine the most likely number of populations (</w:t>
      </w:r>
      <w:r w:rsidRPr="00976DA9">
        <w:rPr>
          <w:rFonts w:ascii="Times New Roman" w:hAnsi="Times New Roman" w:cs="Times New Roman"/>
          <w:i/>
          <w:sz w:val="24"/>
          <w:szCs w:val="24"/>
        </w:rPr>
        <w:t>K</w:t>
      </w:r>
      <w:r w:rsidRPr="00976DA9">
        <w:rPr>
          <w:rFonts w:ascii="Times New Roman" w:hAnsi="Times New Roman" w:cs="Times New Roman"/>
          <w:sz w:val="24"/>
          <w:szCs w:val="24"/>
        </w:rPr>
        <w:t xml:space="preserve">) from one to four. We conducted ten replicate STRUCTURE runs with 150,000 </w:t>
      </w:r>
      <w:r w:rsidR="00EC6D38">
        <w:rPr>
          <w:rFonts w:ascii="Times New Roman" w:hAnsi="Times New Roman" w:cs="Times New Roman"/>
          <w:sz w:val="24"/>
          <w:szCs w:val="24"/>
        </w:rPr>
        <w:t>burn-in</w:t>
      </w:r>
      <w:r w:rsidRPr="00976DA9">
        <w:rPr>
          <w:rFonts w:ascii="Times New Roman" w:hAnsi="Times New Roman" w:cs="Times New Roman"/>
          <w:sz w:val="24"/>
          <w:szCs w:val="24"/>
        </w:rPr>
        <w:t xml:space="preserve"> replicates and 200,000 data collection replicates. We used the method of </w:t>
      </w:r>
      <w:proofErr w:type="spellStart"/>
      <w:r w:rsidRPr="00976DA9">
        <w:rPr>
          <w:rFonts w:ascii="Times New Roman" w:hAnsi="Times New Roman" w:cs="Times New Roman"/>
          <w:sz w:val="24"/>
          <w:szCs w:val="24"/>
        </w:rPr>
        <w:t>Evanno</w:t>
      </w:r>
      <w:proofErr w:type="spellEnd"/>
      <w:r w:rsidRPr="00976DA9">
        <w:rPr>
          <w:rFonts w:ascii="Times New Roman" w:hAnsi="Times New Roman" w:cs="Times New Roman"/>
          <w:sz w:val="24"/>
          <w:szCs w:val="24"/>
        </w:rPr>
        <w:t xml:space="preserve"> et al. (2005) to determine the most likely number of populations. Finally, we used GENEPOP to conduct chi-squared contingency tests to determine if there were significant differences in allele frequencies between the two tributaries. The FCA plot (Supplemental Figure </w:t>
      </w:r>
      <w:r>
        <w:rPr>
          <w:rFonts w:ascii="Times New Roman" w:hAnsi="Times New Roman" w:cs="Times New Roman"/>
          <w:sz w:val="24"/>
          <w:szCs w:val="24"/>
        </w:rPr>
        <w:t>A</w:t>
      </w:r>
      <w:r w:rsidRPr="00976DA9">
        <w:rPr>
          <w:rFonts w:ascii="Times New Roman" w:hAnsi="Times New Roman" w:cs="Times New Roman"/>
          <w:sz w:val="24"/>
          <w:szCs w:val="24"/>
        </w:rPr>
        <w:t>1</w:t>
      </w:r>
      <w:r>
        <w:rPr>
          <w:rFonts w:ascii="Times New Roman" w:hAnsi="Times New Roman" w:cs="Times New Roman"/>
          <w:sz w:val="24"/>
          <w:szCs w:val="24"/>
        </w:rPr>
        <w:t>.1</w:t>
      </w:r>
      <w:r w:rsidRPr="00976DA9">
        <w:rPr>
          <w:rFonts w:ascii="Times New Roman" w:hAnsi="Times New Roman" w:cs="Times New Roman"/>
          <w:sz w:val="24"/>
          <w:szCs w:val="24"/>
        </w:rPr>
        <w:t xml:space="preserve">) and the STRUCTURE analysis (Supplemental Figure </w:t>
      </w:r>
      <w:r>
        <w:rPr>
          <w:rFonts w:ascii="Times New Roman" w:hAnsi="Times New Roman" w:cs="Times New Roman"/>
          <w:sz w:val="24"/>
          <w:szCs w:val="24"/>
        </w:rPr>
        <w:t>A1.2</w:t>
      </w:r>
      <w:r w:rsidRPr="00976DA9">
        <w:rPr>
          <w:rFonts w:ascii="Times New Roman" w:hAnsi="Times New Roman" w:cs="Times New Roman"/>
          <w:sz w:val="24"/>
          <w:szCs w:val="24"/>
        </w:rPr>
        <w:t>) both suggested that the fish from Snyder Creek represented a genetically independent population</w:t>
      </w:r>
      <w:r>
        <w:rPr>
          <w:rFonts w:ascii="Times New Roman" w:hAnsi="Times New Roman" w:cs="Times New Roman"/>
          <w:sz w:val="24"/>
          <w:szCs w:val="24"/>
        </w:rPr>
        <w:t xml:space="preserve"> (Δ</w:t>
      </w:r>
      <w:r w:rsidRPr="00862A98">
        <w:rPr>
          <w:rFonts w:ascii="Times New Roman" w:hAnsi="Times New Roman" w:cs="Times New Roman"/>
          <w:i/>
          <w:sz w:val="24"/>
          <w:szCs w:val="24"/>
        </w:rPr>
        <w:t>K</w:t>
      </w:r>
      <w:r>
        <w:rPr>
          <w:rFonts w:ascii="Times New Roman" w:hAnsi="Times New Roman" w:cs="Times New Roman"/>
          <w:sz w:val="24"/>
          <w:szCs w:val="24"/>
        </w:rPr>
        <w:t xml:space="preserve"> = 2)</w:t>
      </w:r>
      <w:r w:rsidRPr="00976DA9">
        <w:rPr>
          <w:rFonts w:ascii="Times New Roman" w:hAnsi="Times New Roman" w:cs="Times New Roman"/>
          <w:sz w:val="24"/>
          <w:szCs w:val="24"/>
        </w:rPr>
        <w:t xml:space="preserve">. Furthermore, chi-squared contingency tests showed that there were significant differences in allele frequencies between the two collections at 14 of 16 loci. Based on these results, we concluded that Honey and Snyder creeks likely represent separate populations so these tributaries were analyzed as separate populations </w:t>
      </w:r>
      <w:r>
        <w:rPr>
          <w:rFonts w:ascii="Times New Roman" w:hAnsi="Times New Roman" w:cs="Times New Roman"/>
          <w:sz w:val="24"/>
          <w:szCs w:val="24"/>
        </w:rPr>
        <w:t>for</w:t>
      </w:r>
      <w:r w:rsidRPr="00976DA9">
        <w:rPr>
          <w:rFonts w:ascii="Times New Roman" w:hAnsi="Times New Roman" w:cs="Times New Roman"/>
          <w:sz w:val="24"/>
          <w:szCs w:val="24"/>
        </w:rPr>
        <w:t xml:space="preserve"> this manuscript.</w:t>
      </w:r>
    </w:p>
    <w:p w14:paraId="1B6DB552" w14:textId="77777777" w:rsidR="00862A98" w:rsidRDefault="00862A98" w:rsidP="00BC571D">
      <w:pPr>
        <w:spacing w:line="360" w:lineRule="auto"/>
        <w:contextualSpacing/>
        <w:rPr>
          <w:rFonts w:ascii="Times New Roman" w:hAnsi="Times New Roman" w:cs="Times New Roman"/>
          <w:sz w:val="24"/>
          <w:szCs w:val="24"/>
        </w:rPr>
      </w:pPr>
    </w:p>
    <w:p w14:paraId="1B6DB553" w14:textId="77777777" w:rsidR="00862A98" w:rsidRDefault="00862A98" w:rsidP="00A6257F">
      <w:pPr>
        <w:spacing w:line="360" w:lineRule="auto"/>
        <w:contextualSpacing/>
        <w:rPr>
          <w:rFonts w:ascii="Times New Roman" w:hAnsi="Times New Roman" w:cs="Times New Roman"/>
          <w:b/>
          <w:sz w:val="24"/>
          <w:szCs w:val="24"/>
        </w:rPr>
      </w:pPr>
      <w:r w:rsidRPr="00862A98">
        <w:rPr>
          <w:rFonts w:ascii="Times New Roman" w:hAnsi="Times New Roman" w:cs="Times New Roman"/>
          <w:b/>
          <w:sz w:val="24"/>
          <w:szCs w:val="24"/>
        </w:rPr>
        <w:lastRenderedPageBreak/>
        <w:t>References</w:t>
      </w:r>
    </w:p>
    <w:p w14:paraId="1B6DB554" w14:textId="77777777" w:rsidR="00862A98" w:rsidRPr="00862A98" w:rsidRDefault="00862A98" w:rsidP="00A6257F">
      <w:pPr>
        <w:spacing w:after="0" w:line="360" w:lineRule="auto"/>
        <w:ind w:left="720" w:hanging="720"/>
        <w:contextualSpacing/>
        <w:rPr>
          <w:rFonts w:ascii="Times New Roman" w:hAnsi="Times New Roman" w:cs="Times New Roman"/>
          <w:noProof/>
          <w:sz w:val="24"/>
          <w:szCs w:val="24"/>
        </w:rPr>
      </w:pPr>
      <w:bookmarkStart w:id="2" w:name="_ENREF_1"/>
      <w:r w:rsidRPr="00862A98">
        <w:rPr>
          <w:rFonts w:ascii="Times New Roman" w:hAnsi="Times New Roman" w:cs="Times New Roman"/>
          <w:noProof/>
          <w:sz w:val="24"/>
          <w:szCs w:val="24"/>
        </w:rPr>
        <w:t>Belkhir, K., Borsa, P., Chikhi, L., Raufaste, N. &amp; Bonhomme, F. 2004. GENETIX v4.05 for Windows.</w:t>
      </w:r>
      <w:bookmarkEnd w:id="2"/>
    </w:p>
    <w:p w14:paraId="1B6DB555" w14:textId="77777777" w:rsidR="00862A98" w:rsidRPr="00862A98" w:rsidRDefault="00862A98" w:rsidP="00A6257F">
      <w:pPr>
        <w:spacing w:after="0" w:line="360" w:lineRule="auto"/>
        <w:ind w:left="720" w:hanging="720"/>
        <w:contextualSpacing/>
        <w:rPr>
          <w:rFonts w:ascii="Times New Roman" w:hAnsi="Times New Roman" w:cs="Times New Roman"/>
          <w:noProof/>
          <w:sz w:val="24"/>
          <w:szCs w:val="24"/>
        </w:rPr>
      </w:pPr>
      <w:bookmarkStart w:id="3" w:name="_ENREF_2"/>
      <w:r w:rsidRPr="00862A98">
        <w:rPr>
          <w:rFonts w:ascii="Times New Roman" w:hAnsi="Times New Roman" w:cs="Times New Roman"/>
          <w:noProof/>
          <w:sz w:val="24"/>
          <w:szCs w:val="24"/>
        </w:rPr>
        <w:t>Evanno, G., Regnaut, S. &amp; Goudet, J. 2005. Detecting the number of clusters of individuals using the software STRUCTURE: a simulation study. Molecular Ecology 14: 2611-2620.</w:t>
      </w:r>
      <w:bookmarkEnd w:id="3"/>
    </w:p>
    <w:p w14:paraId="1B6DB556" w14:textId="77777777" w:rsidR="00862A98" w:rsidRPr="00862A98" w:rsidRDefault="00862A98" w:rsidP="00A6257F">
      <w:pPr>
        <w:spacing w:after="0" w:line="360" w:lineRule="auto"/>
        <w:ind w:left="720" w:hanging="720"/>
        <w:contextualSpacing/>
        <w:rPr>
          <w:rFonts w:ascii="Times New Roman" w:hAnsi="Times New Roman" w:cs="Times New Roman"/>
          <w:noProof/>
          <w:sz w:val="24"/>
          <w:szCs w:val="24"/>
        </w:rPr>
      </w:pPr>
      <w:bookmarkStart w:id="4" w:name="_ENREF_3"/>
      <w:r w:rsidRPr="00862A98">
        <w:rPr>
          <w:rFonts w:ascii="Times New Roman" w:hAnsi="Times New Roman" w:cs="Times New Roman"/>
          <w:noProof/>
          <w:sz w:val="24"/>
          <w:szCs w:val="24"/>
        </w:rPr>
        <w:t>Pritchard, J.K., Stephens, M. &amp; Donnelly, P. 2000. Inference of population structure using multilocus genotype data. Genetics 155: 945-959.</w:t>
      </w:r>
      <w:bookmarkEnd w:id="4"/>
    </w:p>
    <w:p w14:paraId="1B6DB557" w14:textId="77777777" w:rsidR="00862A98" w:rsidRPr="00862A98" w:rsidRDefault="00862A98" w:rsidP="00A6257F">
      <w:pPr>
        <w:spacing w:after="0" w:line="360" w:lineRule="auto"/>
        <w:ind w:left="720" w:hanging="720"/>
        <w:contextualSpacing/>
        <w:rPr>
          <w:rFonts w:ascii="Times New Roman" w:hAnsi="Times New Roman" w:cs="Times New Roman"/>
          <w:noProof/>
          <w:sz w:val="24"/>
          <w:szCs w:val="24"/>
        </w:rPr>
      </w:pPr>
      <w:bookmarkStart w:id="5" w:name="_ENREF_4"/>
      <w:r w:rsidRPr="00862A98">
        <w:rPr>
          <w:rFonts w:ascii="Times New Roman" w:hAnsi="Times New Roman" w:cs="Times New Roman"/>
          <w:noProof/>
          <w:sz w:val="24"/>
          <w:szCs w:val="24"/>
        </w:rPr>
        <w:t>Raymond, M. &amp; Rousset, F. 1995. GENEPOP (Version-1.2) - Population-genetics software for exact tests and ecumenicism. Journal of Heredity 86: 248-249.</w:t>
      </w:r>
      <w:bookmarkEnd w:id="5"/>
    </w:p>
    <w:p w14:paraId="1B6DB558" w14:textId="77777777" w:rsidR="00862A98" w:rsidRPr="00862A98" w:rsidRDefault="00862A98" w:rsidP="00A6257F">
      <w:pPr>
        <w:spacing w:line="360" w:lineRule="auto"/>
        <w:ind w:left="720" w:hanging="720"/>
        <w:contextualSpacing/>
        <w:rPr>
          <w:rFonts w:ascii="Times New Roman" w:hAnsi="Times New Roman" w:cs="Times New Roman"/>
          <w:noProof/>
          <w:sz w:val="24"/>
          <w:szCs w:val="24"/>
        </w:rPr>
      </w:pPr>
      <w:bookmarkStart w:id="6" w:name="_ENREF_5"/>
      <w:r w:rsidRPr="00862A98">
        <w:rPr>
          <w:rFonts w:ascii="Times New Roman" w:hAnsi="Times New Roman" w:cs="Times New Roman"/>
          <w:noProof/>
          <w:sz w:val="24"/>
          <w:szCs w:val="24"/>
        </w:rPr>
        <w:t>Rice, W.R. 1989. Analyzing tables of statistical tests. Evolution 43: 223-225.</w:t>
      </w:r>
      <w:bookmarkEnd w:id="6"/>
    </w:p>
    <w:p w14:paraId="1B6DB559" w14:textId="77777777" w:rsidR="00862A98" w:rsidRPr="00976DA9" w:rsidRDefault="00862A98" w:rsidP="00A6257F">
      <w:pPr>
        <w:spacing w:line="360" w:lineRule="auto"/>
        <w:contextualSpacing/>
        <w:rPr>
          <w:rFonts w:ascii="Times New Roman" w:hAnsi="Times New Roman" w:cs="Times New Roman"/>
          <w:sz w:val="24"/>
          <w:szCs w:val="24"/>
        </w:rPr>
      </w:pPr>
      <w:r>
        <w:rPr>
          <w:rFonts w:ascii="Times New Roman" w:hAnsi="Times New Roman" w:cs="Times New Roman"/>
          <w:sz w:val="24"/>
          <w:szCs w:val="24"/>
        </w:rPr>
        <w:t xml:space="preserve"> </w:t>
      </w:r>
      <w:r w:rsidRPr="00976DA9">
        <w:rPr>
          <w:rFonts w:ascii="Times New Roman" w:hAnsi="Times New Roman" w:cs="Times New Roman"/>
          <w:sz w:val="24"/>
          <w:szCs w:val="24"/>
        </w:rPr>
        <w:br w:type="page"/>
      </w:r>
      <w:r w:rsidRPr="00976DA9">
        <w:rPr>
          <w:rFonts w:ascii="Times New Roman" w:hAnsi="Times New Roman" w:cs="Times New Roman"/>
          <w:noProof/>
          <w:sz w:val="24"/>
          <w:szCs w:val="24"/>
        </w:rPr>
        <w:lastRenderedPageBreak/>
        <w:drawing>
          <wp:inline distT="0" distB="0" distL="0" distR="0" wp14:anchorId="1B6DB58E" wp14:editId="1B6DB58F">
            <wp:extent cx="4459857" cy="2932981"/>
            <wp:effectExtent l="0" t="0" r="0" b="127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1B6DB55A" w14:textId="77777777" w:rsidR="00862A98" w:rsidRPr="00976DA9" w:rsidRDefault="00862A98" w:rsidP="00BC571D">
      <w:pPr>
        <w:spacing w:line="360" w:lineRule="auto"/>
        <w:rPr>
          <w:rFonts w:ascii="Times New Roman" w:hAnsi="Times New Roman" w:cs="Times New Roman"/>
          <w:b/>
          <w:sz w:val="24"/>
          <w:szCs w:val="24"/>
        </w:rPr>
      </w:pPr>
      <w:r w:rsidRPr="00976DA9">
        <w:rPr>
          <w:rFonts w:ascii="Times New Roman" w:hAnsi="Times New Roman" w:cs="Times New Roman"/>
          <w:b/>
          <w:sz w:val="24"/>
          <w:szCs w:val="24"/>
        </w:rPr>
        <w:t xml:space="preserve">Supplemental Figure </w:t>
      </w:r>
      <w:r>
        <w:rPr>
          <w:rFonts w:ascii="Times New Roman" w:hAnsi="Times New Roman" w:cs="Times New Roman"/>
          <w:b/>
          <w:sz w:val="24"/>
          <w:szCs w:val="24"/>
        </w:rPr>
        <w:t>A</w:t>
      </w:r>
      <w:r w:rsidRPr="00976DA9">
        <w:rPr>
          <w:rFonts w:ascii="Times New Roman" w:hAnsi="Times New Roman" w:cs="Times New Roman"/>
          <w:b/>
          <w:sz w:val="24"/>
          <w:szCs w:val="24"/>
        </w:rPr>
        <w:t>1</w:t>
      </w:r>
      <w:r>
        <w:rPr>
          <w:rFonts w:ascii="Times New Roman" w:hAnsi="Times New Roman" w:cs="Times New Roman"/>
          <w:b/>
          <w:sz w:val="24"/>
          <w:szCs w:val="24"/>
        </w:rPr>
        <w:t>.1</w:t>
      </w:r>
      <w:r w:rsidRPr="00976DA9">
        <w:rPr>
          <w:rFonts w:ascii="Times New Roman" w:hAnsi="Times New Roman" w:cs="Times New Roman"/>
          <w:b/>
          <w:sz w:val="24"/>
          <w:szCs w:val="24"/>
        </w:rPr>
        <w:t xml:space="preserve">. </w:t>
      </w:r>
      <w:r w:rsidRPr="00976DA9">
        <w:rPr>
          <w:rFonts w:ascii="Times New Roman" w:hAnsi="Times New Roman" w:cs="Times New Roman"/>
          <w:sz w:val="24"/>
          <w:szCs w:val="24"/>
        </w:rPr>
        <w:t>Correspondence analysis (FCA) of Warner suckers collec</w:t>
      </w:r>
      <w:r>
        <w:rPr>
          <w:rFonts w:ascii="Times New Roman" w:hAnsi="Times New Roman" w:cs="Times New Roman"/>
          <w:sz w:val="24"/>
          <w:szCs w:val="24"/>
        </w:rPr>
        <w:t>ted in Honey (blue diamonds) and Snyder (red squares) creeks.</w:t>
      </w:r>
    </w:p>
    <w:p w14:paraId="1B6DB55B" w14:textId="77777777" w:rsidR="00862A98" w:rsidRDefault="00862A98">
      <w:pPr>
        <w:rPr>
          <w:rFonts w:ascii="Times New Roman" w:hAnsi="Times New Roman" w:cs="Times New Roman"/>
          <w:sz w:val="24"/>
          <w:szCs w:val="24"/>
        </w:rPr>
      </w:pPr>
    </w:p>
    <w:p w14:paraId="1B6DB55C" w14:textId="77777777" w:rsidR="00EC6D38" w:rsidRPr="00D0237E" w:rsidRDefault="00EC6D38">
      <w:pPr>
        <w:rPr>
          <w:rFonts w:ascii="Times New Roman" w:hAnsi="Times New Roman" w:cs="Times New Roman"/>
          <w:sz w:val="24"/>
          <w:szCs w:val="24"/>
        </w:rPr>
      </w:pPr>
    </w:p>
    <w:p w14:paraId="1B6DB55D" w14:textId="77777777" w:rsidR="00EC6D38" w:rsidRDefault="00EC6D3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B6DB590" wp14:editId="1B6DB591">
            <wp:extent cx="4373217" cy="15505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ney_Snyder_K2.jpg"/>
                    <pic:cNvPicPr/>
                  </pic:nvPicPr>
                  <pic:blipFill rotWithShape="1">
                    <a:blip r:embed="rId5">
                      <a:extLst>
                        <a:ext uri="{28A0092B-C50C-407E-A947-70E740481C1C}">
                          <a14:useLocalDpi xmlns:a14="http://schemas.microsoft.com/office/drawing/2010/main" val="0"/>
                        </a:ext>
                      </a:extLst>
                    </a:blip>
                    <a:srcRect l="14037" t="30660" r="12433" b="34581"/>
                    <a:stretch/>
                  </pic:blipFill>
                  <pic:spPr bwMode="auto">
                    <a:xfrm>
                      <a:off x="0" y="0"/>
                      <a:ext cx="4370295" cy="1549468"/>
                    </a:xfrm>
                    <a:prstGeom prst="rect">
                      <a:avLst/>
                    </a:prstGeom>
                    <a:ln>
                      <a:noFill/>
                    </a:ln>
                    <a:extLst>
                      <a:ext uri="{53640926-AAD7-44D8-BBD7-CCE9431645EC}">
                        <a14:shadowObscured xmlns:a14="http://schemas.microsoft.com/office/drawing/2010/main"/>
                      </a:ext>
                    </a:extLst>
                  </pic:spPr>
                </pic:pic>
              </a:graphicData>
            </a:graphic>
          </wp:inline>
        </w:drawing>
      </w:r>
    </w:p>
    <w:p w14:paraId="1B6DB55E" w14:textId="77777777" w:rsidR="00862A98" w:rsidRDefault="00EC6D38" w:rsidP="00B96D0D">
      <w:pPr>
        <w:spacing w:line="360" w:lineRule="auto"/>
        <w:rPr>
          <w:rFonts w:ascii="Times New Roman" w:hAnsi="Times New Roman" w:cs="Times New Roman"/>
          <w:noProof/>
          <w:sz w:val="24"/>
          <w:szCs w:val="24"/>
        </w:rPr>
      </w:pPr>
      <w:r w:rsidRPr="00EC6D38">
        <w:rPr>
          <w:rFonts w:ascii="Times New Roman" w:hAnsi="Times New Roman" w:cs="Times New Roman"/>
          <w:b/>
          <w:noProof/>
          <w:sz w:val="24"/>
          <w:szCs w:val="24"/>
        </w:rPr>
        <w:t>Supplemental Figure A1.2</w:t>
      </w:r>
      <w:r>
        <w:rPr>
          <w:rFonts w:ascii="Times New Roman" w:hAnsi="Times New Roman" w:cs="Times New Roman"/>
          <w:noProof/>
          <w:sz w:val="24"/>
          <w:szCs w:val="24"/>
        </w:rPr>
        <w:t xml:space="preserve"> Output from the program STRUCTURE for Warner suckers collected in Honey and Snyder creek. Output for </w:t>
      </w:r>
      <w:r w:rsidRPr="00EC6D38">
        <w:rPr>
          <w:rFonts w:ascii="Times New Roman" w:hAnsi="Times New Roman" w:cs="Times New Roman"/>
          <w:i/>
          <w:noProof/>
          <w:sz w:val="24"/>
          <w:szCs w:val="24"/>
        </w:rPr>
        <w:t>K</w:t>
      </w:r>
      <w:r>
        <w:rPr>
          <w:rFonts w:ascii="Times New Roman" w:hAnsi="Times New Roman" w:cs="Times New Roman"/>
          <w:noProof/>
          <w:sz w:val="24"/>
          <w:szCs w:val="24"/>
        </w:rPr>
        <w:t xml:space="preserve"> = 2 populations (highest delta K) is shown. Each vertical bar on the graph represents an individual in the analysis and the shading corresponds to the porportional membership in each genetic cluster (population).</w:t>
      </w:r>
      <w:r w:rsidR="00862A98">
        <w:rPr>
          <w:rFonts w:ascii="Times New Roman" w:hAnsi="Times New Roman" w:cs="Times New Roman"/>
          <w:noProof/>
          <w:sz w:val="24"/>
          <w:szCs w:val="24"/>
        </w:rPr>
        <w:br w:type="page"/>
      </w:r>
    </w:p>
    <w:p w14:paraId="1B6DB55F" w14:textId="77777777" w:rsidR="00EC6D38" w:rsidRPr="001E0B69" w:rsidRDefault="001E0B69" w:rsidP="001E0B69">
      <w:pPr>
        <w:spacing w:line="360" w:lineRule="auto"/>
        <w:contextualSpacing/>
        <w:rPr>
          <w:rFonts w:ascii="Times New Roman" w:hAnsi="Times New Roman" w:cs="Times New Roman"/>
          <w:b/>
          <w:noProof/>
          <w:sz w:val="24"/>
          <w:szCs w:val="24"/>
        </w:rPr>
      </w:pPr>
      <w:r w:rsidRPr="001E0B69">
        <w:rPr>
          <w:rFonts w:ascii="Times New Roman" w:hAnsi="Times New Roman" w:cs="Times New Roman"/>
          <w:b/>
          <w:noProof/>
          <w:sz w:val="24"/>
          <w:szCs w:val="24"/>
        </w:rPr>
        <w:lastRenderedPageBreak/>
        <w:t>DeHaan et al. Supplement A2.</w:t>
      </w:r>
    </w:p>
    <w:p w14:paraId="1B6DB560" w14:textId="77777777" w:rsidR="001E0B69" w:rsidRDefault="001E0B69" w:rsidP="001E0B69">
      <w:pPr>
        <w:spacing w:line="360" w:lineRule="auto"/>
        <w:contextualSpacing/>
        <w:rPr>
          <w:rFonts w:ascii="Times New Roman" w:hAnsi="Times New Roman" w:cs="Times New Roman"/>
          <w:sz w:val="24"/>
          <w:szCs w:val="24"/>
        </w:rPr>
      </w:pPr>
      <w:r>
        <w:rPr>
          <w:rFonts w:ascii="Times New Roman" w:hAnsi="Times New Roman" w:cs="Times New Roman"/>
          <w:noProof/>
          <w:sz w:val="24"/>
          <w:szCs w:val="24"/>
        </w:rPr>
        <w:t xml:space="preserve">We collected temporal replicate samples from three of the five tributary populations in this study: Snyder Creek, Twentymile Creek and Summer Lake WMA irrigation canal. We wished to test </w:t>
      </w:r>
      <w:r w:rsidR="00B96D0D">
        <w:rPr>
          <w:rFonts w:ascii="Times New Roman" w:hAnsi="Times New Roman" w:cs="Times New Roman"/>
          <w:noProof/>
          <w:sz w:val="24"/>
          <w:szCs w:val="24"/>
        </w:rPr>
        <w:t xml:space="preserve">for significant allele frequency differeces among </w:t>
      </w:r>
      <w:r>
        <w:rPr>
          <w:rFonts w:ascii="Times New Roman" w:hAnsi="Times New Roman" w:cs="Times New Roman"/>
          <w:noProof/>
          <w:sz w:val="24"/>
          <w:szCs w:val="24"/>
        </w:rPr>
        <w:t>temporal replicates from these tributaries before</w:t>
      </w:r>
      <w:r w:rsidR="009A7CD1">
        <w:rPr>
          <w:rFonts w:ascii="Times New Roman" w:hAnsi="Times New Roman" w:cs="Times New Roman"/>
          <w:noProof/>
          <w:sz w:val="24"/>
          <w:szCs w:val="24"/>
        </w:rPr>
        <w:t xml:space="preserve"> combining samples for</w:t>
      </w:r>
      <w:r>
        <w:rPr>
          <w:rFonts w:ascii="Times New Roman" w:hAnsi="Times New Roman" w:cs="Times New Roman"/>
          <w:noProof/>
          <w:sz w:val="24"/>
          <w:szCs w:val="24"/>
        </w:rPr>
        <w:t xml:space="preserve"> statistical analysis. We did not conduct a temporal comparison of the samples from Snyder Creek because of the low sample size in the 2012 sample (n = 3). For Twentymile Creek and Summer Lake WMA, we split temporal replicate samples into collections according to sample years. This resulted in four temporal collections for Twentymile Creek (2007, 2008, 2009, 2010) and two </w:t>
      </w:r>
      <w:r w:rsidR="00B96D0D">
        <w:rPr>
          <w:rFonts w:ascii="Times New Roman" w:hAnsi="Times New Roman" w:cs="Times New Roman"/>
          <w:noProof/>
          <w:sz w:val="24"/>
          <w:szCs w:val="24"/>
        </w:rPr>
        <w:t xml:space="preserve">temporal </w:t>
      </w:r>
      <w:r>
        <w:rPr>
          <w:rFonts w:ascii="Times New Roman" w:hAnsi="Times New Roman" w:cs="Times New Roman"/>
          <w:noProof/>
          <w:sz w:val="24"/>
          <w:szCs w:val="24"/>
        </w:rPr>
        <w:t xml:space="preserve">collections for Summer Lake WMA (2007 and 2009). We used GENEPOP v4.1 (Raymond and Rousset 1995) to estimate the pairwise level of genetic variation among temporal replicates from each tributary </w:t>
      </w:r>
      <w:r w:rsidR="004F02E4">
        <w:rPr>
          <w:rFonts w:ascii="Times New Roman" w:hAnsi="Times New Roman" w:cs="Times New Roman"/>
          <w:noProof/>
          <w:sz w:val="24"/>
          <w:szCs w:val="24"/>
        </w:rPr>
        <w:t xml:space="preserve">(i.e., pairwise </w:t>
      </w:r>
      <w:r w:rsidR="004F02E4" w:rsidRPr="004F02E4">
        <w:rPr>
          <w:rFonts w:ascii="Times New Roman" w:hAnsi="Times New Roman" w:cs="Times New Roman"/>
          <w:i/>
          <w:noProof/>
          <w:sz w:val="24"/>
          <w:szCs w:val="24"/>
        </w:rPr>
        <w:t>F</w:t>
      </w:r>
      <w:r w:rsidR="004F02E4" w:rsidRPr="004F02E4">
        <w:rPr>
          <w:rFonts w:ascii="Times New Roman" w:hAnsi="Times New Roman" w:cs="Times New Roman"/>
          <w:noProof/>
          <w:sz w:val="24"/>
          <w:szCs w:val="24"/>
          <w:vertAlign w:val="subscript"/>
        </w:rPr>
        <w:t>ST</w:t>
      </w:r>
      <w:r w:rsidR="004F02E4">
        <w:rPr>
          <w:rFonts w:ascii="Times New Roman" w:hAnsi="Times New Roman" w:cs="Times New Roman"/>
          <w:noProof/>
          <w:sz w:val="24"/>
          <w:szCs w:val="24"/>
        </w:rPr>
        <w:t xml:space="preserve">) </w:t>
      </w:r>
      <w:r>
        <w:rPr>
          <w:rFonts w:ascii="Times New Roman" w:hAnsi="Times New Roman" w:cs="Times New Roman"/>
          <w:noProof/>
          <w:sz w:val="24"/>
          <w:szCs w:val="24"/>
        </w:rPr>
        <w:t>and to conduct contingency tests of allele frequency heterogeneity</w:t>
      </w:r>
      <w:r w:rsidR="009A7CD1">
        <w:rPr>
          <w:rFonts w:ascii="Times New Roman" w:hAnsi="Times New Roman" w:cs="Times New Roman"/>
          <w:noProof/>
          <w:sz w:val="24"/>
          <w:szCs w:val="24"/>
        </w:rPr>
        <w:t xml:space="preserve"> among temporal replicates</w:t>
      </w:r>
      <w:r>
        <w:rPr>
          <w:rFonts w:ascii="Times New Roman" w:hAnsi="Times New Roman" w:cs="Times New Roman"/>
          <w:noProof/>
          <w:sz w:val="24"/>
          <w:szCs w:val="24"/>
        </w:rPr>
        <w:t>.</w:t>
      </w:r>
      <w:r w:rsidR="004F02E4">
        <w:rPr>
          <w:rFonts w:ascii="Times New Roman" w:hAnsi="Times New Roman" w:cs="Times New Roman"/>
          <w:noProof/>
          <w:sz w:val="24"/>
          <w:szCs w:val="24"/>
        </w:rPr>
        <w:t xml:space="preserve"> </w:t>
      </w:r>
      <w:r w:rsidR="004F02E4" w:rsidRPr="004F02E4">
        <w:rPr>
          <w:rFonts w:ascii="Times New Roman" w:hAnsi="Times New Roman" w:cs="Times New Roman"/>
          <w:sz w:val="24"/>
          <w:szCs w:val="24"/>
        </w:rPr>
        <w:t>Significance values for allele frequency heterogeneity tests were adjusted for multiple comparisons using a Bonferroni adjustment.</w:t>
      </w:r>
    </w:p>
    <w:p w14:paraId="1B6DB561" w14:textId="77777777" w:rsidR="004F02E4" w:rsidRPr="004F02E4" w:rsidRDefault="004F02E4" w:rsidP="001E0B69">
      <w:pPr>
        <w:spacing w:line="360" w:lineRule="auto"/>
        <w:contextualSpacing/>
        <w:rPr>
          <w:rFonts w:ascii="Times New Roman" w:hAnsi="Times New Roman" w:cs="Times New Roman"/>
          <w:noProof/>
          <w:sz w:val="24"/>
          <w:szCs w:val="24"/>
        </w:rPr>
      </w:pPr>
      <w:r>
        <w:rPr>
          <w:rFonts w:ascii="Times New Roman" w:hAnsi="Times New Roman" w:cs="Times New Roman"/>
          <w:sz w:val="24"/>
          <w:szCs w:val="24"/>
        </w:rPr>
        <w:tab/>
        <w:t xml:space="preserve">Pairwise </w:t>
      </w:r>
      <w:r w:rsidR="00B96D0D" w:rsidRPr="004F02E4">
        <w:rPr>
          <w:rFonts w:ascii="Times New Roman" w:hAnsi="Times New Roman" w:cs="Times New Roman"/>
          <w:i/>
          <w:noProof/>
          <w:sz w:val="24"/>
          <w:szCs w:val="24"/>
        </w:rPr>
        <w:t>F</w:t>
      </w:r>
      <w:r w:rsidR="00B96D0D" w:rsidRPr="004F02E4">
        <w:rPr>
          <w:rFonts w:ascii="Times New Roman" w:hAnsi="Times New Roman" w:cs="Times New Roman"/>
          <w:noProof/>
          <w:sz w:val="24"/>
          <w:szCs w:val="24"/>
          <w:vertAlign w:val="subscript"/>
        </w:rPr>
        <w:t>ST</w:t>
      </w:r>
      <w:r>
        <w:rPr>
          <w:rFonts w:ascii="Times New Roman" w:hAnsi="Times New Roman" w:cs="Times New Roman"/>
          <w:sz w:val="24"/>
          <w:szCs w:val="24"/>
        </w:rPr>
        <w:t xml:space="preserve"> estimates </w:t>
      </w:r>
      <w:r w:rsidR="00B96D0D">
        <w:rPr>
          <w:rFonts w:ascii="Times New Roman" w:hAnsi="Times New Roman" w:cs="Times New Roman"/>
          <w:sz w:val="24"/>
          <w:szCs w:val="24"/>
        </w:rPr>
        <w:t xml:space="preserve">for the temporal replicates from Twentymile Creek ranged from 0.002 to 0.022 and the number of loci that exhibited significant allele frequency differences ranged from </w:t>
      </w:r>
      <w:r w:rsidR="009A7CD1">
        <w:rPr>
          <w:rFonts w:ascii="Times New Roman" w:hAnsi="Times New Roman" w:cs="Times New Roman"/>
          <w:sz w:val="24"/>
          <w:szCs w:val="24"/>
        </w:rPr>
        <w:t>zero</w:t>
      </w:r>
      <w:r w:rsidR="00B96D0D">
        <w:rPr>
          <w:rFonts w:ascii="Times New Roman" w:hAnsi="Times New Roman" w:cs="Times New Roman"/>
          <w:sz w:val="24"/>
          <w:szCs w:val="24"/>
        </w:rPr>
        <w:t xml:space="preserve"> to </w:t>
      </w:r>
      <w:r w:rsidR="009A7CD1">
        <w:rPr>
          <w:rFonts w:ascii="Times New Roman" w:hAnsi="Times New Roman" w:cs="Times New Roman"/>
          <w:sz w:val="24"/>
          <w:szCs w:val="24"/>
        </w:rPr>
        <w:t>two</w:t>
      </w:r>
      <w:r w:rsidR="00B96D0D">
        <w:rPr>
          <w:rFonts w:ascii="Times New Roman" w:hAnsi="Times New Roman" w:cs="Times New Roman"/>
          <w:sz w:val="24"/>
          <w:szCs w:val="24"/>
        </w:rPr>
        <w:t xml:space="preserve"> (Supplemental Table A2.1). Because the temporal replicates from Twentymile Creek showed very low levels of pairwise variation and only limited differences in allele frequencies among replicates, we combined temporal replicates from this population for subsequent statistical analysis. For the Summer Lake </w:t>
      </w:r>
      <w:r w:rsidR="001438D8">
        <w:rPr>
          <w:rFonts w:ascii="Times New Roman" w:hAnsi="Times New Roman" w:cs="Times New Roman"/>
          <w:sz w:val="24"/>
          <w:szCs w:val="24"/>
        </w:rPr>
        <w:t xml:space="preserve">WMA population, the pairwise </w:t>
      </w:r>
      <w:r w:rsidR="001438D8" w:rsidRPr="004F02E4">
        <w:rPr>
          <w:rFonts w:ascii="Times New Roman" w:hAnsi="Times New Roman" w:cs="Times New Roman"/>
          <w:i/>
          <w:noProof/>
          <w:sz w:val="24"/>
          <w:szCs w:val="24"/>
        </w:rPr>
        <w:t>F</w:t>
      </w:r>
      <w:r w:rsidR="001438D8" w:rsidRPr="004F02E4">
        <w:rPr>
          <w:rFonts w:ascii="Times New Roman" w:hAnsi="Times New Roman" w:cs="Times New Roman"/>
          <w:noProof/>
          <w:sz w:val="24"/>
          <w:szCs w:val="24"/>
          <w:vertAlign w:val="subscript"/>
        </w:rPr>
        <w:t>ST</w:t>
      </w:r>
      <w:r w:rsidR="001438D8">
        <w:rPr>
          <w:rFonts w:ascii="Times New Roman" w:hAnsi="Times New Roman" w:cs="Times New Roman"/>
          <w:sz w:val="24"/>
          <w:szCs w:val="24"/>
        </w:rPr>
        <w:t xml:space="preserve"> estimate between the two temporal replicates was 0.025 and 10 of 16 loci showed significant allele frequency differences. Although we did observe </w:t>
      </w:r>
      <w:r w:rsidR="00D268B4">
        <w:rPr>
          <w:rFonts w:ascii="Times New Roman" w:hAnsi="Times New Roman" w:cs="Times New Roman"/>
          <w:sz w:val="24"/>
          <w:szCs w:val="24"/>
        </w:rPr>
        <w:t xml:space="preserve">some </w:t>
      </w:r>
      <w:r w:rsidR="001438D8">
        <w:rPr>
          <w:rFonts w:ascii="Times New Roman" w:hAnsi="Times New Roman" w:cs="Times New Roman"/>
          <w:sz w:val="24"/>
          <w:szCs w:val="24"/>
        </w:rPr>
        <w:t xml:space="preserve">evidence of temporal structuring among collections from the Summer Lake WMA population, the level of pairwise variation was substantially less than what we observed among natural tributary populations. Because of this, and the fact that </w:t>
      </w:r>
      <w:r w:rsidR="00D268B4">
        <w:rPr>
          <w:rFonts w:ascii="Times New Roman" w:hAnsi="Times New Roman" w:cs="Times New Roman"/>
          <w:sz w:val="24"/>
          <w:szCs w:val="24"/>
        </w:rPr>
        <w:t>Summer Lake WMA</w:t>
      </w:r>
      <w:r w:rsidR="001438D8">
        <w:rPr>
          <w:rFonts w:ascii="Times New Roman" w:hAnsi="Times New Roman" w:cs="Times New Roman"/>
          <w:sz w:val="24"/>
          <w:szCs w:val="24"/>
        </w:rPr>
        <w:t xml:space="preserve"> is an isolated</w:t>
      </w:r>
      <w:r w:rsidR="00D268B4">
        <w:rPr>
          <w:rFonts w:ascii="Times New Roman" w:hAnsi="Times New Roman" w:cs="Times New Roman"/>
          <w:sz w:val="24"/>
          <w:szCs w:val="24"/>
        </w:rPr>
        <w:t>,</w:t>
      </w:r>
      <w:r w:rsidR="001438D8">
        <w:rPr>
          <w:rFonts w:ascii="Times New Roman" w:hAnsi="Times New Roman" w:cs="Times New Roman"/>
          <w:sz w:val="24"/>
          <w:szCs w:val="24"/>
        </w:rPr>
        <w:t xml:space="preserve"> refugial population, we chose to pool temporal replicates from this tributary into a single population for analysis. Waples (1989) recommended this approach as the most accurate means to estimate allele frequencies for species with overlapping generations. </w:t>
      </w:r>
    </w:p>
    <w:p w14:paraId="1B6DB562" w14:textId="77777777" w:rsidR="001E0B69" w:rsidRPr="004F02E4" w:rsidRDefault="001E0B69" w:rsidP="001E0B69">
      <w:pPr>
        <w:spacing w:after="0" w:line="360" w:lineRule="auto"/>
        <w:ind w:left="720" w:hanging="720"/>
        <w:contextualSpacing/>
        <w:rPr>
          <w:rFonts w:ascii="Times New Roman" w:hAnsi="Times New Roman" w:cs="Times New Roman"/>
          <w:noProof/>
          <w:sz w:val="24"/>
          <w:szCs w:val="24"/>
        </w:rPr>
      </w:pPr>
    </w:p>
    <w:p w14:paraId="1B6DB563" w14:textId="77777777" w:rsidR="001438D8" w:rsidRDefault="001438D8">
      <w:pPr>
        <w:rPr>
          <w:rFonts w:ascii="Times New Roman" w:hAnsi="Times New Roman" w:cs="Times New Roman"/>
          <w:b/>
          <w:noProof/>
          <w:sz w:val="24"/>
          <w:szCs w:val="24"/>
        </w:rPr>
      </w:pPr>
      <w:r>
        <w:rPr>
          <w:rFonts w:ascii="Times New Roman" w:hAnsi="Times New Roman" w:cs="Times New Roman"/>
          <w:b/>
          <w:noProof/>
          <w:sz w:val="24"/>
          <w:szCs w:val="24"/>
        </w:rPr>
        <w:br w:type="page"/>
      </w:r>
    </w:p>
    <w:p w14:paraId="1B6DB564" w14:textId="77777777" w:rsidR="00B96D0D" w:rsidRPr="001438D8" w:rsidRDefault="00B96D0D" w:rsidP="00C23014">
      <w:pPr>
        <w:spacing w:after="0" w:line="360" w:lineRule="auto"/>
        <w:ind w:left="720" w:hanging="720"/>
        <w:contextualSpacing/>
        <w:rPr>
          <w:rFonts w:ascii="Times New Roman" w:hAnsi="Times New Roman" w:cs="Times New Roman"/>
          <w:b/>
          <w:noProof/>
          <w:sz w:val="24"/>
          <w:szCs w:val="24"/>
        </w:rPr>
      </w:pPr>
      <w:r w:rsidRPr="001438D8">
        <w:rPr>
          <w:rFonts w:ascii="Times New Roman" w:hAnsi="Times New Roman" w:cs="Times New Roman"/>
          <w:b/>
          <w:noProof/>
          <w:sz w:val="24"/>
          <w:szCs w:val="24"/>
        </w:rPr>
        <w:lastRenderedPageBreak/>
        <w:t>Reference</w:t>
      </w:r>
      <w:r w:rsidR="001438D8" w:rsidRPr="001438D8">
        <w:rPr>
          <w:rFonts w:ascii="Times New Roman" w:hAnsi="Times New Roman" w:cs="Times New Roman"/>
          <w:b/>
          <w:noProof/>
          <w:sz w:val="24"/>
          <w:szCs w:val="24"/>
        </w:rPr>
        <w:t>s</w:t>
      </w:r>
    </w:p>
    <w:p w14:paraId="1B6DB565" w14:textId="77777777" w:rsidR="001E0B69" w:rsidRPr="001438D8" w:rsidRDefault="001E0B69" w:rsidP="00C23014">
      <w:pPr>
        <w:spacing w:after="0" w:line="360" w:lineRule="auto"/>
        <w:ind w:left="720" w:hanging="720"/>
        <w:contextualSpacing/>
        <w:rPr>
          <w:rFonts w:ascii="Times New Roman" w:hAnsi="Times New Roman" w:cs="Times New Roman"/>
          <w:noProof/>
          <w:sz w:val="24"/>
          <w:szCs w:val="24"/>
        </w:rPr>
      </w:pPr>
      <w:r w:rsidRPr="001438D8">
        <w:rPr>
          <w:rFonts w:ascii="Times New Roman" w:hAnsi="Times New Roman" w:cs="Times New Roman"/>
          <w:noProof/>
          <w:sz w:val="24"/>
          <w:szCs w:val="24"/>
        </w:rPr>
        <w:t>Raymond, M. &amp; Rousset, F. 1995. GENEPOP (Version-1.2) - Population-genetics software for exact tests and ecumenicism. Journal of Heredity 86: 248-249.</w:t>
      </w:r>
    </w:p>
    <w:p w14:paraId="1B6DB566" w14:textId="77777777" w:rsidR="001438D8" w:rsidRPr="001438D8" w:rsidRDefault="001438D8" w:rsidP="00C23014">
      <w:pPr>
        <w:spacing w:after="0" w:line="360" w:lineRule="auto"/>
        <w:ind w:left="720" w:hanging="720"/>
        <w:rPr>
          <w:rFonts w:ascii="Times New Roman" w:hAnsi="Times New Roman" w:cs="Times New Roman"/>
          <w:noProof/>
          <w:sz w:val="24"/>
          <w:szCs w:val="24"/>
        </w:rPr>
      </w:pPr>
      <w:r w:rsidRPr="001438D8">
        <w:rPr>
          <w:rFonts w:ascii="Times New Roman" w:hAnsi="Times New Roman" w:cs="Times New Roman"/>
          <w:noProof/>
          <w:sz w:val="24"/>
          <w:szCs w:val="24"/>
        </w:rPr>
        <w:t>Waples, R. S. 1989. Temporal variation in allele frequencies: testing the right hypothesis. Evolution 43(6):1236-1251.</w:t>
      </w:r>
    </w:p>
    <w:p w14:paraId="1B6DB567" w14:textId="77777777" w:rsidR="001438D8" w:rsidRPr="001438D8" w:rsidRDefault="001438D8" w:rsidP="001E0B69">
      <w:pPr>
        <w:spacing w:after="0" w:line="360" w:lineRule="auto"/>
        <w:ind w:left="720" w:hanging="720"/>
        <w:contextualSpacing/>
        <w:rPr>
          <w:rFonts w:ascii="Times New Roman" w:hAnsi="Times New Roman" w:cs="Times New Roman"/>
          <w:noProof/>
          <w:sz w:val="24"/>
          <w:szCs w:val="24"/>
        </w:rPr>
      </w:pPr>
    </w:p>
    <w:p w14:paraId="1B6DB568" w14:textId="77777777" w:rsidR="001E0B69" w:rsidRPr="001438D8" w:rsidRDefault="001E0B69" w:rsidP="001E0B69">
      <w:pPr>
        <w:spacing w:after="0" w:line="360" w:lineRule="auto"/>
        <w:ind w:left="720" w:hanging="720"/>
        <w:contextualSpacing/>
        <w:rPr>
          <w:rFonts w:ascii="Times New Roman" w:hAnsi="Times New Roman" w:cs="Times New Roman"/>
          <w:noProof/>
          <w:sz w:val="24"/>
          <w:szCs w:val="24"/>
        </w:rPr>
      </w:pPr>
    </w:p>
    <w:p w14:paraId="1B6DB569" w14:textId="77777777" w:rsidR="001E0B69" w:rsidRPr="001438D8" w:rsidRDefault="001E0B69" w:rsidP="004F02E4">
      <w:pPr>
        <w:spacing w:after="0" w:line="360" w:lineRule="auto"/>
        <w:contextualSpacing/>
        <w:rPr>
          <w:rFonts w:ascii="Times New Roman" w:hAnsi="Times New Roman" w:cs="Times New Roman"/>
          <w:noProof/>
          <w:sz w:val="24"/>
          <w:szCs w:val="24"/>
        </w:rPr>
      </w:pPr>
      <w:r w:rsidRPr="001438D8">
        <w:rPr>
          <w:rFonts w:ascii="Times New Roman" w:hAnsi="Times New Roman" w:cs="Times New Roman"/>
          <w:b/>
          <w:noProof/>
          <w:sz w:val="24"/>
          <w:szCs w:val="24"/>
        </w:rPr>
        <w:t xml:space="preserve">Supplemental Table A2.1. </w:t>
      </w:r>
      <w:r w:rsidRPr="001438D8">
        <w:rPr>
          <w:rFonts w:ascii="Times New Roman" w:hAnsi="Times New Roman" w:cs="Times New Roman"/>
          <w:sz w:val="24"/>
          <w:szCs w:val="24"/>
        </w:rPr>
        <w:t xml:space="preserve">Genetic variation among </w:t>
      </w:r>
      <w:r w:rsidR="004F02E4" w:rsidRPr="001438D8">
        <w:rPr>
          <w:rFonts w:ascii="Times New Roman" w:hAnsi="Times New Roman" w:cs="Times New Roman"/>
          <w:sz w:val="24"/>
          <w:szCs w:val="24"/>
        </w:rPr>
        <w:t>temporal replicate samples from Twentymile Creek</w:t>
      </w:r>
      <w:r w:rsidRPr="001438D8">
        <w:rPr>
          <w:rFonts w:ascii="Times New Roman" w:hAnsi="Times New Roman" w:cs="Times New Roman"/>
          <w:sz w:val="24"/>
          <w:szCs w:val="24"/>
        </w:rPr>
        <w:t xml:space="preserve">. Values below the diagonal represent pairwise </w:t>
      </w:r>
      <w:r w:rsidRPr="001438D8">
        <w:rPr>
          <w:rFonts w:ascii="Times New Roman" w:hAnsi="Times New Roman" w:cs="Times New Roman"/>
          <w:i/>
          <w:sz w:val="24"/>
          <w:szCs w:val="24"/>
        </w:rPr>
        <w:t>F</w:t>
      </w:r>
      <w:r w:rsidRPr="001438D8">
        <w:rPr>
          <w:rFonts w:ascii="Times New Roman" w:hAnsi="Times New Roman" w:cs="Times New Roman"/>
          <w:sz w:val="24"/>
          <w:szCs w:val="24"/>
          <w:vertAlign w:val="subscript"/>
        </w:rPr>
        <w:t>ST</w:t>
      </w:r>
      <w:r w:rsidRPr="001438D8">
        <w:rPr>
          <w:rFonts w:ascii="Times New Roman" w:hAnsi="Times New Roman" w:cs="Times New Roman"/>
          <w:sz w:val="24"/>
          <w:szCs w:val="24"/>
        </w:rPr>
        <w:t xml:space="preserve"> values and values above the diagonal represent the number of loci (out of 16) that showed significant allele frequency differences among </w:t>
      </w:r>
      <w:r w:rsidR="004F02E4" w:rsidRPr="001438D8">
        <w:rPr>
          <w:rFonts w:ascii="Times New Roman" w:hAnsi="Times New Roman" w:cs="Times New Roman"/>
          <w:sz w:val="24"/>
          <w:szCs w:val="24"/>
        </w:rPr>
        <w:t>collections</w:t>
      </w:r>
      <w:r w:rsidRPr="001438D8">
        <w:rPr>
          <w:rFonts w:ascii="Times New Roman" w:hAnsi="Times New Roman" w:cs="Times New Roman"/>
          <w:sz w:val="24"/>
          <w:szCs w:val="24"/>
        </w:rPr>
        <w:t>.</w:t>
      </w:r>
    </w:p>
    <w:tbl>
      <w:tblPr>
        <w:tblW w:w="4800" w:type="dxa"/>
        <w:tblInd w:w="93" w:type="dxa"/>
        <w:tblLook w:val="04A0" w:firstRow="1" w:lastRow="0" w:firstColumn="1" w:lastColumn="0" w:noHBand="0" w:noVBand="1"/>
      </w:tblPr>
      <w:tblGrid>
        <w:gridCol w:w="960"/>
        <w:gridCol w:w="960"/>
        <w:gridCol w:w="960"/>
        <w:gridCol w:w="960"/>
        <w:gridCol w:w="960"/>
      </w:tblGrid>
      <w:tr w:rsidR="001E0B69" w:rsidRPr="001E0B69" w14:paraId="1B6DB56F" w14:textId="77777777" w:rsidTr="001E0B69">
        <w:trPr>
          <w:trHeight w:val="300"/>
        </w:trPr>
        <w:tc>
          <w:tcPr>
            <w:tcW w:w="960" w:type="dxa"/>
            <w:tcBorders>
              <w:top w:val="single" w:sz="4" w:space="0" w:color="auto"/>
              <w:left w:val="nil"/>
              <w:bottom w:val="single" w:sz="4" w:space="0" w:color="auto"/>
              <w:right w:val="nil"/>
            </w:tcBorders>
            <w:noWrap/>
            <w:vAlign w:val="bottom"/>
            <w:hideMark/>
          </w:tcPr>
          <w:p w14:paraId="1B6DB56A"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 </w:t>
            </w:r>
          </w:p>
        </w:tc>
        <w:tc>
          <w:tcPr>
            <w:tcW w:w="960" w:type="dxa"/>
            <w:tcBorders>
              <w:top w:val="single" w:sz="4" w:space="0" w:color="auto"/>
              <w:left w:val="nil"/>
              <w:bottom w:val="single" w:sz="4" w:space="0" w:color="auto"/>
              <w:right w:val="nil"/>
            </w:tcBorders>
            <w:noWrap/>
            <w:vAlign w:val="bottom"/>
            <w:hideMark/>
          </w:tcPr>
          <w:p w14:paraId="1B6DB56B"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2007</w:t>
            </w:r>
          </w:p>
        </w:tc>
        <w:tc>
          <w:tcPr>
            <w:tcW w:w="960" w:type="dxa"/>
            <w:tcBorders>
              <w:top w:val="single" w:sz="4" w:space="0" w:color="auto"/>
              <w:left w:val="nil"/>
              <w:bottom w:val="single" w:sz="4" w:space="0" w:color="auto"/>
              <w:right w:val="nil"/>
            </w:tcBorders>
            <w:noWrap/>
            <w:vAlign w:val="bottom"/>
            <w:hideMark/>
          </w:tcPr>
          <w:p w14:paraId="1B6DB56C"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2008</w:t>
            </w:r>
          </w:p>
        </w:tc>
        <w:tc>
          <w:tcPr>
            <w:tcW w:w="960" w:type="dxa"/>
            <w:tcBorders>
              <w:top w:val="single" w:sz="4" w:space="0" w:color="auto"/>
              <w:left w:val="nil"/>
              <w:bottom w:val="single" w:sz="4" w:space="0" w:color="auto"/>
              <w:right w:val="nil"/>
            </w:tcBorders>
            <w:noWrap/>
            <w:vAlign w:val="bottom"/>
            <w:hideMark/>
          </w:tcPr>
          <w:p w14:paraId="1B6DB56D"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2009</w:t>
            </w:r>
          </w:p>
        </w:tc>
        <w:tc>
          <w:tcPr>
            <w:tcW w:w="960" w:type="dxa"/>
            <w:tcBorders>
              <w:top w:val="single" w:sz="4" w:space="0" w:color="auto"/>
              <w:left w:val="nil"/>
              <w:bottom w:val="single" w:sz="4" w:space="0" w:color="auto"/>
              <w:right w:val="nil"/>
            </w:tcBorders>
            <w:noWrap/>
            <w:vAlign w:val="bottom"/>
            <w:hideMark/>
          </w:tcPr>
          <w:p w14:paraId="1B6DB56E"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2010</w:t>
            </w:r>
          </w:p>
        </w:tc>
      </w:tr>
      <w:tr w:rsidR="001E0B69" w:rsidRPr="001E0B69" w14:paraId="1B6DB575" w14:textId="77777777" w:rsidTr="001E0B69">
        <w:trPr>
          <w:trHeight w:val="300"/>
        </w:trPr>
        <w:tc>
          <w:tcPr>
            <w:tcW w:w="960" w:type="dxa"/>
            <w:tcBorders>
              <w:top w:val="nil"/>
              <w:left w:val="nil"/>
              <w:bottom w:val="nil"/>
              <w:right w:val="nil"/>
            </w:tcBorders>
            <w:noWrap/>
            <w:vAlign w:val="bottom"/>
            <w:hideMark/>
          </w:tcPr>
          <w:p w14:paraId="1B6DB570"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2007</w:t>
            </w:r>
          </w:p>
        </w:tc>
        <w:tc>
          <w:tcPr>
            <w:tcW w:w="960" w:type="dxa"/>
            <w:tcBorders>
              <w:top w:val="nil"/>
              <w:left w:val="nil"/>
              <w:bottom w:val="nil"/>
              <w:right w:val="nil"/>
            </w:tcBorders>
            <w:noWrap/>
            <w:vAlign w:val="bottom"/>
            <w:hideMark/>
          </w:tcPr>
          <w:p w14:paraId="1B6DB571"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w:t>
            </w:r>
          </w:p>
        </w:tc>
        <w:tc>
          <w:tcPr>
            <w:tcW w:w="960" w:type="dxa"/>
            <w:tcBorders>
              <w:top w:val="nil"/>
              <w:left w:val="nil"/>
              <w:bottom w:val="nil"/>
              <w:right w:val="nil"/>
            </w:tcBorders>
            <w:noWrap/>
            <w:vAlign w:val="bottom"/>
            <w:hideMark/>
          </w:tcPr>
          <w:p w14:paraId="1B6DB572"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1</w:t>
            </w:r>
          </w:p>
        </w:tc>
        <w:tc>
          <w:tcPr>
            <w:tcW w:w="960" w:type="dxa"/>
            <w:tcBorders>
              <w:top w:val="nil"/>
              <w:left w:val="nil"/>
              <w:bottom w:val="nil"/>
              <w:right w:val="nil"/>
            </w:tcBorders>
            <w:noWrap/>
            <w:vAlign w:val="bottom"/>
            <w:hideMark/>
          </w:tcPr>
          <w:p w14:paraId="1B6DB573"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w:t>
            </w:r>
          </w:p>
        </w:tc>
        <w:tc>
          <w:tcPr>
            <w:tcW w:w="960" w:type="dxa"/>
            <w:tcBorders>
              <w:top w:val="nil"/>
              <w:left w:val="nil"/>
              <w:bottom w:val="nil"/>
              <w:right w:val="nil"/>
            </w:tcBorders>
            <w:noWrap/>
            <w:vAlign w:val="bottom"/>
            <w:hideMark/>
          </w:tcPr>
          <w:p w14:paraId="1B6DB574"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w:t>
            </w:r>
          </w:p>
        </w:tc>
      </w:tr>
      <w:tr w:rsidR="001E0B69" w:rsidRPr="001E0B69" w14:paraId="1B6DB57B" w14:textId="77777777" w:rsidTr="001E0B69">
        <w:trPr>
          <w:trHeight w:val="300"/>
        </w:trPr>
        <w:tc>
          <w:tcPr>
            <w:tcW w:w="960" w:type="dxa"/>
            <w:tcBorders>
              <w:top w:val="nil"/>
              <w:left w:val="nil"/>
              <w:bottom w:val="nil"/>
              <w:right w:val="nil"/>
            </w:tcBorders>
            <w:noWrap/>
            <w:vAlign w:val="bottom"/>
            <w:hideMark/>
          </w:tcPr>
          <w:p w14:paraId="1B6DB576"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2008</w:t>
            </w:r>
          </w:p>
        </w:tc>
        <w:tc>
          <w:tcPr>
            <w:tcW w:w="960" w:type="dxa"/>
            <w:tcBorders>
              <w:top w:val="nil"/>
              <w:left w:val="nil"/>
              <w:bottom w:val="nil"/>
              <w:right w:val="nil"/>
            </w:tcBorders>
            <w:noWrap/>
            <w:vAlign w:val="bottom"/>
            <w:hideMark/>
          </w:tcPr>
          <w:p w14:paraId="1B6DB577"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0.014</w:t>
            </w:r>
          </w:p>
        </w:tc>
        <w:tc>
          <w:tcPr>
            <w:tcW w:w="960" w:type="dxa"/>
            <w:tcBorders>
              <w:top w:val="nil"/>
              <w:left w:val="nil"/>
              <w:bottom w:val="nil"/>
              <w:right w:val="nil"/>
            </w:tcBorders>
            <w:noWrap/>
            <w:vAlign w:val="bottom"/>
            <w:hideMark/>
          </w:tcPr>
          <w:p w14:paraId="1B6DB578"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w:t>
            </w:r>
          </w:p>
        </w:tc>
        <w:tc>
          <w:tcPr>
            <w:tcW w:w="960" w:type="dxa"/>
            <w:tcBorders>
              <w:top w:val="nil"/>
              <w:left w:val="nil"/>
              <w:bottom w:val="nil"/>
              <w:right w:val="nil"/>
            </w:tcBorders>
            <w:noWrap/>
            <w:vAlign w:val="bottom"/>
            <w:hideMark/>
          </w:tcPr>
          <w:p w14:paraId="1B6DB579"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w:t>
            </w:r>
          </w:p>
        </w:tc>
        <w:tc>
          <w:tcPr>
            <w:tcW w:w="960" w:type="dxa"/>
            <w:tcBorders>
              <w:top w:val="nil"/>
              <w:left w:val="nil"/>
              <w:bottom w:val="nil"/>
              <w:right w:val="nil"/>
            </w:tcBorders>
            <w:noWrap/>
            <w:vAlign w:val="bottom"/>
            <w:hideMark/>
          </w:tcPr>
          <w:p w14:paraId="1B6DB57A"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w:t>
            </w:r>
          </w:p>
        </w:tc>
      </w:tr>
      <w:tr w:rsidR="001E0B69" w:rsidRPr="001E0B69" w14:paraId="1B6DB581" w14:textId="77777777" w:rsidTr="001E0B69">
        <w:trPr>
          <w:trHeight w:val="300"/>
        </w:trPr>
        <w:tc>
          <w:tcPr>
            <w:tcW w:w="960" w:type="dxa"/>
            <w:tcBorders>
              <w:top w:val="nil"/>
              <w:left w:val="nil"/>
              <w:bottom w:val="nil"/>
              <w:right w:val="nil"/>
            </w:tcBorders>
            <w:noWrap/>
            <w:vAlign w:val="bottom"/>
            <w:hideMark/>
          </w:tcPr>
          <w:p w14:paraId="1B6DB57C"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2009</w:t>
            </w:r>
          </w:p>
        </w:tc>
        <w:tc>
          <w:tcPr>
            <w:tcW w:w="960" w:type="dxa"/>
            <w:tcBorders>
              <w:top w:val="nil"/>
              <w:left w:val="nil"/>
              <w:bottom w:val="nil"/>
              <w:right w:val="nil"/>
            </w:tcBorders>
            <w:noWrap/>
            <w:vAlign w:val="bottom"/>
            <w:hideMark/>
          </w:tcPr>
          <w:p w14:paraId="1B6DB57D"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0.019</w:t>
            </w:r>
          </w:p>
        </w:tc>
        <w:tc>
          <w:tcPr>
            <w:tcW w:w="960" w:type="dxa"/>
            <w:tcBorders>
              <w:top w:val="nil"/>
              <w:left w:val="nil"/>
              <w:bottom w:val="nil"/>
              <w:right w:val="nil"/>
            </w:tcBorders>
            <w:noWrap/>
            <w:vAlign w:val="bottom"/>
            <w:hideMark/>
          </w:tcPr>
          <w:p w14:paraId="1B6DB57E"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0.022</w:t>
            </w:r>
          </w:p>
        </w:tc>
        <w:tc>
          <w:tcPr>
            <w:tcW w:w="960" w:type="dxa"/>
            <w:tcBorders>
              <w:top w:val="nil"/>
              <w:left w:val="nil"/>
              <w:bottom w:val="nil"/>
              <w:right w:val="nil"/>
            </w:tcBorders>
            <w:noWrap/>
            <w:vAlign w:val="bottom"/>
            <w:hideMark/>
          </w:tcPr>
          <w:p w14:paraId="1B6DB57F"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w:t>
            </w:r>
          </w:p>
        </w:tc>
        <w:tc>
          <w:tcPr>
            <w:tcW w:w="960" w:type="dxa"/>
            <w:tcBorders>
              <w:top w:val="nil"/>
              <w:left w:val="nil"/>
              <w:bottom w:val="nil"/>
              <w:right w:val="nil"/>
            </w:tcBorders>
            <w:noWrap/>
            <w:vAlign w:val="bottom"/>
            <w:hideMark/>
          </w:tcPr>
          <w:p w14:paraId="1B6DB580"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w:t>
            </w:r>
          </w:p>
        </w:tc>
      </w:tr>
      <w:tr w:rsidR="001E0B69" w:rsidRPr="001E0B69" w14:paraId="1B6DB587" w14:textId="77777777" w:rsidTr="001E0B69">
        <w:trPr>
          <w:trHeight w:val="300"/>
        </w:trPr>
        <w:tc>
          <w:tcPr>
            <w:tcW w:w="960" w:type="dxa"/>
            <w:tcBorders>
              <w:top w:val="nil"/>
              <w:left w:val="nil"/>
              <w:bottom w:val="single" w:sz="4" w:space="0" w:color="auto"/>
              <w:right w:val="nil"/>
            </w:tcBorders>
            <w:noWrap/>
            <w:vAlign w:val="bottom"/>
            <w:hideMark/>
          </w:tcPr>
          <w:p w14:paraId="1B6DB582"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2010</w:t>
            </w:r>
          </w:p>
        </w:tc>
        <w:tc>
          <w:tcPr>
            <w:tcW w:w="960" w:type="dxa"/>
            <w:tcBorders>
              <w:top w:val="nil"/>
              <w:left w:val="nil"/>
              <w:bottom w:val="single" w:sz="4" w:space="0" w:color="auto"/>
              <w:right w:val="nil"/>
            </w:tcBorders>
            <w:noWrap/>
            <w:vAlign w:val="bottom"/>
            <w:hideMark/>
          </w:tcPr>
          <w:p w14:paraId="1B6DB583"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0.002</w:t>
            </w:r>
          </w:p>
        </w:tc>
        <w:tc>
          <w:tcPr>
            <w:tcW w:w="960" w:type="dxa"/>
            <w:tcBorders>
              <w:top w:val="nil"/>
              <w:left w:val="nil"/>
              <w:bottom w:val="single" w:sz="4" w:space="0" w:color="auto"/>
              <w:right w:val="nil"/>
            </w:tcBorders>
            <w:noWrap/>
            <w:vAlign w:val="bottom"/>
            <w:hideMark/>
          </w:tcPr>
          <w:p w14:paraId="1B6DB584"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0.010</w:t>
            </w:r>
          </w:p>
        </w:tc>
        <w:tc>
          <w:tcPr>
            <w:tcW w:w="960" w:type="dxa"/>
            <w:tcBorders>
              <w:top w:val="nil"/>
              <w:left w:val="nil"/>
              <w:bottom w:val="single" w:sz="4" w:space="0" w:color="auto"/>
              <w:right w:val="nil"/>
            </w:tcBorders>
            <w:noWrap/>
            <w:vAlign w:val="bottom"/>
            <w:hideMark/>
          </w:tcPr>
          <w:p w14:paraId="1B6DB585"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0.011</w:t>
            </w:r>
          </w:p>
        </w:tc>
        <w:tc>
          <w:tcPr>
            <w:tcW w:w="960" w:type="dxa"/>
            <w:tcBorders>
              <w:top w:val="nil"/>
              <w:left w:val="nil"/>
              <w:bottom w:val="single" w:sz="4" w:space="0" w:color="auto"/>
              <w:right w:val="nil"/>
            </w:tcBorders>
            <w:noWrap/>
            <w:vAlign w:val="bottom"/>
            <w:hideMark/>
          </w:tcPr>
          <w:p w14:paraId="1B6DB586"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w:t>
            </w:r>
          </w:p>
        </w:tc>
      </w:tr>
    </w:tbl>
    <w:p w14:paraId="1B6DB588" w14:textId="77777777" w:rsidR="001E0B69" w:rsidRPr="001438D8" w:rsidRDefault="001E0B69" w:rsidP="001E0B69">
      <w:pPr>
        <w:spacing w:line="360" w:lineRule="auto"/>
        <w:contextualSpacing/>
        <w:rPr>
          <w:rFonts w:ascii="Times New Roman" w:hAnsi="Times New Roman" w:cs="Times New Roman"/>
          <w:noProof/>
          <w:sz w:val="24"/>
          <w:szCs w:val="24"/>
        </w:rPr>
      </w:pPr>
    </w:p>
    <w:p w14:paraId="1B6DB589" w14:textId="77777777" w:rsidR="001E0B69" w:rsidRPr="001438D8" w:rsidRDefault="001E0B69" w:rsidP="001E0B69">
      <w:pPr>
        <w:spacing w:line="360" w:lineRule="auto"/>
        <w:contextualSpacing/>
        <w:rPr>
          <w:rFonts w:ascii="Times New Roman" w:hAnsi="Times New Roman" w:cs="Times New Roman"/>
          <w:b/>
          <w:sz w:val="24"/>
          <w:szCs w:val="24"/>
        </w:rPr>
      </w:pPr>
      <w:r w:rsidRPr="001438D8">
        <w:rPr>
          <w:rFonts w:ascii="Times New Roman" w:hAnsi="Times New Roman" w:cs="Times New Roman"/>
          <w:b/>
          <w:sz w:val="24"/>
          <w:szCs w:val="24"/>
        </w:rPr>
        <w:br w:type="page"/>
      </w:r>
    </w:p>
    <w:p w14:paraId="1B6DB58A" w14:textId="77777777" w:rsidR="00862A98" w:rsidRDefault="00862A98">
      <w:pPr>
        <w:rPr>
          <w:rFonts w:ascii="Times New Roman" w:hAnsi="Times New Roman" w:cs="Times New Roman"/>
          <w:sz w:val="24"/>
          <w:szCs w:val="24"/>
        </w:rPr>
      </w:pPr>
      <w:r>
        <w:rPr>
          <w:rFonts w:ascii="Times New Roman" w:hAnsi="Times New Roman" w:cs="Times New Roman"/>
          <w:b/>
          <w:sz w:val="24"/>
          <w:szCs w:val="24"/>
        </w:rPr>
        <w:lastRenderedPageBreak/>
        <w:t xml:space="preserve">DeHaan et al. Supplement </w:t>
      </w:r>
      <w:r w:rsidR="00AE3F3B">
        <w:rPr>
          <w:rFonts w:ascii="Times New Roman" w:hAnsi="Times New Roman" w:cs="Times New Roman"/>
          <w:b/>
          <w:sz w:val="24"/>
          <w:szCs w:val="24"/>
        </w:rPr>
        <w:t>A3</w:t>
      </w:r>
      <w:r>
        <w:rPr>
          <w:rFonts w:ascii="Times New Roman" w:hAnsi="Times New Roman" w:cs="Times New Roman"/>
          <w:sz w:val="24"/>
          <w:szCs w:val="24"/>
        </w:rPr>
        <w:t>.</w:t>
      </w:r>
    </w:p>
    <w:p w14:paraId="1B6DB58B" w14:textId="77777777" w:rsidR="00862A98" w:rsidRDefault="00862A9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6DB592" wp14:editId="1B6DB593">
            <wp:extent cx="4265422" cy="2700068"/>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1-Out_Likelihood-Scores_12-21-15.png"/>
                    <pic:cNvPicPr/>
                  </pic:nvPicPr>
                  <pic:blipFill>
                    <a:blip r:embed="rId6">
                      <a:extLst>
                        <a:ext uri="{28A0092B-C50C-407E-A947-70E740481C1C}">
                          <a14:useLocalDpi xmlns:a14="http://schemas.microsoft.com/office/drawing/2010/main" val="0"/>
                        </a:ext>
                      </a:extLst>
                    </a:blip>
                    <a:stretch>
                      <a:fillRect/>
                    </a:stretch>
                  </pic:blipFill>
                  <pic:spPr>
                    <a:xfrm>
                      <a:off x="0" y="0"/>
                      <a:ext cx="4280963" cy="2709905"/>
                    </a:xfrm>
                    <a:prstGeom prst="rect">
                      <a:avLst/>
                    </a:prstGeom>
                  </pic:spPr>
                </pic:pic>
              </a:graphicData>
            </a:graphic>
          </wp:inline>
        </w:drawing>
      </w:r>
    </w:p>
    <w:p w14:paraId="1B6DB58C" w14:textId="77777777" w:rsidR="00862A98" w:rsidRPr="00D0237E" w:rsidRDefault="00862A9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6DB594" wp14:editId="1B6DB595">
            <wp:extent cx="4238170" cy="268281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ulation Assignments Likelihood Summary 12-21-15.png"/>
                    <pic:cNvPicPr/>
                  </pic:nvPicPr>
                  <pic:blipFill>
                    <a:blip r:embed="rId7">
                      <a:extLst>
                        <a:ext uri="{28A0092B-C50C-407E-A947-70E740481C1C}">
                          <a14:useLocalDpi xmlns:a14="http://schemas.microsoft.com/office/drawing/2010/main" val="0"/>
                        </a:ext>
                      </a:extLst>
                    </a:blip>
                    <a:stretch>
                      <a:fillRect/>
                    </a:stretch>
                  </pic:blipFill>
                  <pic:spPr>
                    <a:xfrm>
                      <a:off x="0" y="0"/>
                      <a:ext cx="4252360" cy="2691797"/>
                    </a:xfrm>
                    <a:prstGeom prst="rect">
                      <a:avLst/>
                    </a:prstGeom>
                  </pic:spPr>
                </pic:pic>
              </a:graphicData>
            </a:graphic>
          </wp:inline>
        </w:drawing>
      </w:r>
    </w:p>
    <w:p w14:paraId="1B6DB58D" w14:textId="77777777" w:rsidR="00973384" w:rsidRPr="00EC6D38" w:rsidRDefault="00862A98" w:rsidP="00EC6D38">
      <w:pPr>
        <w:spacing w:line="360" w:lineRule="auto"/>
        <w:rPr>
          <w:rFonts w:ascii="Times New Roman" w:hAnsi="Times New Roman" w:cs="Times New Roman"/>
          <w:sz w:val="24"/>
          <w:szCs w:val="24"/>
        </w:rPr>
      </w:pPr>
      <w:r>
        <w:rPr>
          <w:rFonts w:ascii="Times New Roman" w:hAnsi="Times New Roman" w:cs="Times New Roman"/>
          <w:sz w:val="24"/>
          <w:szCs w:val="24"/>
        </w:rPr>
        <w:t xml:space="preserve">Distribution of likelihood scores for genetic population assignments. The top graph shows the distribution of likelihood scores for leave-one-out assignment tests of the baseline dataset. Red bars correspond to likelihood scores for individuals assigned to the population </w:t>
      </w:r>
      <w:r w:rsidR="00EC6D38">
        <w:rPr>
          <w:rFonts w:ascii="Times New Roman" w:hAnsi="Times New Roman" w:cs="Times New Roman"/>
          <w:sz w:val="24"/>
          <w:szCs w:val="24"/>
        </w:rPr>
        <w:t xml:space="preserve">they were collected from (i.e., </w:t>
      </w:r>
      <w:r>
        <w:rPr>
          <w:rFonts w:ascii="Times New Roman" w:hAnsi="Times New Roman" w:cs="Times New Roman"/>
          <w:sz w:val="24"/>
          <w:szCs w:val="24"/>
        </w:rPr>
        <w:t>“Correct Assignment”) and blue bars correspond to individuals assigned to a population that they were not collected from (i.e., “Incorrect Assignments”). The bottom graph represents the distribution of likelihood scores for genetic assignments of unknown origin individuals collected in Crump (red bars) and Hart (blue bars) lakes.</w:t>
      </w:r>
    </w:p>
    <w:sectPr w:rsidR="00973384" w:rsidRPr="00EC6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Verdan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862A98"/>
    <w:rsid w:val="0002108A"/>
    <w:rsid w:val="000554B1"/>
    <w:rsid w:val="000669BE"/>
    <w:rsid w:val="0010052C"/>
    <w:rsid w:val="001029ED"/>
    <w:rsid w:val="00117D68"/>
    <w:rsid w:val="001206BF"/>
    <w:rsid w:val="001438D8"/>
    <w:rsid w:val="0015423E"/>
    <w:rsid w:val="001B4C50"/>
    <w:rsid w:val="001B6920"/>
    <w:rsid w:val="001E0B69"/>
    <w:rsid w:val="002814B8"/>
    <w:rsid w:val="002A3CA5"/>
    <w:rsid w:val="002C430F"/>
    <w:rsid w:val="002E2EEE"/>
    <w:rsid w:val="0036158F"/>
    <w:rsid w:val="003C0BCB"/>
    <w:rsid w:val="00422593"/>
    <w:rsid w:val="004349C1"/>
    <w:rsid w:val="00445E6B"/>
    <w:rsid w:val="004C23F6"/>
    <w:rsid w:val="004D5C6E"/>
    <w:rsid w:val="004F02E4"/>
    <w:rsid w:val="0053432B"/>
    <w:rsid w:val="00536472"/>
    <w:rsid w:val="005600CB"/>
    <w:rsid w:val="00564D62"/>
    <w:rsid w:val="00584FA9"/>
    <w:rsid w:val="005A24FB"/>
    <w:rsid w:val="005A70DE"/>
    <w:rsid w:val="0061679A"/>
    <w:rsid w:val="0063268A"/>
    <w:rsid w:val="00642C1B"/>
    <w:rsid w:val="006D5EA3"/>
    <w:rsid w:val="006E76BA"/>
    <w:rsid w:val="006F0111"/>
    <w:rsid w:val="006F7E0A"/>
    <w:rsid w:val="007610F3"/>
    <w:rsid w:val="00775EBE"/>
    <w:rsid w:val="007831A3"/>
    <w:rsid w:val="007B0A78"/>
    <w:rsid w:val="007E4062"/>
    <w:rsid w:val="00860A59"/>
    <w:rsid w:val="00862A98"/>
    <w:rsid w:val="00932103"/>
    <w:rsid w:val="00966907"/>
    <w:rsid w:val="00973384"/>
    <w:rsid w:val="009A7CD1"/>
    <w:rsid w:val="009B24D9"/>
    <w:rsid w:val="009C3049"/>
    <w:rsid w:val="009E6067"/>
    <w:rsid w:val="009F5FD9"/>
    <w:rsid w:val="00A13B53"/>
    <w:rsid w:val="00A201EA"/>
    <w:rsid w:val="00A24ADE"/>
    <w:rsid w:val="00A6257F"/>
    <w:rsid w:val="00A9670B"/>
    <w:rsid w:val="00AB236B"/>
    <w:rsid w:val="00AE3F3B"/>
    <w:rsid w:val="00AF2835"/>
    <w:rsid w:val="00B503C7"/>
    <w:rsid w:val="00B55D83"/>
    <w:rsid w:val="00B93464"/>
    <w:rsid w:val="00B96D0D"/>
    <w:rsid w:val="00C11DAE"/>
    <w:rsid w:val="00C16AD8"/>
    <w:rsid w:val="00C23014"/>
    <w:rsid w:val="00C554BE"/>
    <w:rsid w:val="00C940B0"/>
    <w:rsid w:val="00C95DC0"/>
    <w:rsid w:val="00D13608"/>
    <w:rsid w:val="00D268B4"/>
    <w:rsid w:val="00DC606F"/>
    <w:rsid w:val="00EC6D38"/>
    <w:rsid w:val="00ED7933"/>
    <w:rsid w:val="00F51CD5"/>
    <w:rsid w:val="00FE1D19"/>
    <w:rsid w:val="00FF6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DB550"/>
  <w15:docId w15:val="{DB878F5C-97B7-444B-B901-83A6CAD55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A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2A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A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038126">
      <w:bodyDiv w:val="1"/>
      <w:marLeft w:val="0"/>
      <w:marRight w:val="0"/>
      <w:marTop w:val="0"/>
      <w:marBottom w:val="0"/>
      <w:divBdr>
        <w:top w:val="none" w:sz="0" w:space="0" w:color="auto"/>
        <w:left w:val="none" w:sz="0" w:space="0" w:color="auto"/>
        <w:bottom w:val="none" w:sz="0" w:space="0" w:color="auto"/>
        <w:right w:val="none" w:sz="0" w:space="0" w:color="auto"/>
      </w:divBdr>
    </w:div>
    <w:div w:id="171450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chart" Target="charts/chart1.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pdehaan\Desktop\Warner%20Sucker%20Analysis\Honey%20vs.%20Snyder\Honey_Snyder_FC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2.9153286173045488E-2"/>
          <c:y val="3.190379219838918E-2"/>
          <c:w val="0.92638713339352174"/>
          <c:h val="0.93619241560322264"/>
        </c:manualLayout>
      </c:layout>
      <c:scatterChart>
        <c:scatterStyle val="lineMarker"/>
        <c:varyColors val="0"/>
        <c:ser>
          <c:idx val="0"/>
          <c:order val="0"/>
          <c:tx>
            <c:strRef>
              <c:f>flig!$A$1</c:f>
              <c:strCache>
                <c:ptCount val="1"/>
                <c:pt idx="0">
                  <c:v>Honey Creek</c:v>
                </c:pt>
              </c:strCache>
            </c:strRef>
          </c:tx>
          <c:spPr>
            <a:ln w="28575">
              <a:noFill/>
            </a:ln>
          </c:spPr>
          <c:xVal>
            <c:numRef>
              <c:f>flig!$C$1:$C$44</c:f>
              <c:numCache>
                <c:formatCode>General</c:formatCode>
                <c:ptCount val="44"/>
                <c:pt idx="0">
                  <c:v>-0.64597000000000415</c:v>
                </c:pt>
                <c:pt idx="1">
                  <c:v>-0.68784000000000478</c:v>
                </c:pt>
                <c:pt idx="2">
                  <c:v>-0.43100000000000038</c:v>
                </c:pt>
                <c:pt idx="3">
                  <c:v>-0.27223000000000003</c:v>
                </c:pt>
                <c:pt idx="4">
                  <c:v>-0.57928000000000002</c:v>
                </c:pt>
                <c:pt idx="5">
                  <c:v>-0.53922000000000003</c:v>
                </c:pt>
                <c:pt idx="6">
                  <c:v>-0.21886000000000044</c:v>
                </c:pt>
                <c:pt idx="7">
                  <c:v>-0.33479000000000031</c:v>
                </c:pt>
                <c:pt idx="8">
                  <c:v>-0.40856000000000031</c:v>
                </c:pt>
                <c:pt idx="9">
                  <c:v>-0.13291000000000044</c:v>
                </c:pt>
                <c:pt idx="10">
                  <c:v>-0.30808000000000207</c:v>
                </c:pt>
                <c:pt idx="11">
                  <c:v>-0.61376000000000064</c:v>
                </c:pt>
                <c:pt idx="12">
                  <c:v>-0.62486000000000064</c:v>
                </c:pt>
                <c:pt idx="13">
                  <c:v>-0.24402000000000001</c:v>
                </c:pt>
                <c:pt idx="14">
                  <c:v>-4.8079999999999998E-2</c:v>
                </c:pt>
                <c:pt idx="15">
                  <c:v>-0.60257000000000005</c:v>
                </c:pt>
                <c:pt idx="16">
                  <c:v>-0.62810000000000321</c:v>
                </c:pt>
                <c:pt idx="17">
                  <c:v>-0.64342999999999995</c:v>
                </c:pt>
                <c:pt idx="18">
                  <c:v>-0.60594000000000414</c:v>
                </c:pt>
                <c:pt idx="19">
                  <c:v>-0.35191000000000161</c:v>
                </c:pt>
                <c:pt idx="20">
                  <c:v>-0.27942000000000161</c:v>
                </c:pt>
                <c:pt idx="21">
                  <c:v>-0.17096000000000044</c:v>
                </c:pt>
                <c:pt idx="22">
                  <c:v>-0.32059000000000032</c:v>
                </c:pt>
                <c:pt idx="23">
                  <c:v>-0.18173000000000086</c:v>
                </c:pt>
                <c:pt idx="24">
                  <c:v>-0.22421000000000074</c:v>
                </c:pt>
                <c:pt idx="25">
                  <c:v>-0.30118000000000167</c:v>
                </c:pt>
                <c:pt idx="26">
                  <c:v>-0.23121000000000044</c:v>
                </c:pt>
                <c:pt idx="27">
                  <c:v>-6.0659999999999999E-2</c:v>
                </c:pt>
                <c:pt idx="28">
                  <c:v>-0.15342000000000044</c:v>
                </c:pt>
                <c:pt idx="29">
                  <c:v>-0.19736000000000045</c:v>
                </c:pt>
                <c:pt idx="30">
                  <c:v>-9.9190000000000556E-2</c:v>
                </c:pt>
                <c:pt idx="31">
                  <c:v>-8.4160000000000068E-2</c:v>
                </c:pt>
                <c:pt idx="32">
                  <c:v>-0.19614000000000045</c:v>
                </c:pt>
                <c:pt idx="33">
                  <c:v>-0.19338000000000036</c:v>
                </c:pt>
                <c:pt idx="34">
                  <c:v>8.7370000000000031E-2</c:v>
                </c:pt>
                <c:pt idx="35">
                  <c:v>-0.44726000000000027</c:v>
                </c:pt>
                <c:pt idx="36">
                  <c:v>-0.47975000000000001</c:v>
                </c:pt>
                <c:pt idx="37">
                  <c:v>-0.16479000000000074</c:v>
                </c:pt>
                <c:pt idx="38">
                  <c:v>0.14326000000000041</c:v>
                </c:pt>
                <c:pt idx="39">
                  <c:v>-0.19745000000000054</c:v>
                </c:pt>
                <c:pt idx="40">
                  <c:v>-0.12773999999999999</c:v>
                </c:pt>
                <c:pt idx="41">
                  <c:v>0.18607000000000001</c:v>
                </c:pt>
                <c:pt idx="42">
                  <c:v>2.0790000000000003E-2</c:v>
                </c:pt>
                <c:pt idx="43">
                  <c:v>-0.19296000000000074</c:v>
                </c:pt>
              </c:numCache>
            </c:numRef>
          </c:xVal>
          <c:yVal>
            <c:numRef>
              <c:f>flig!$D$1:$D$44</c:f>
              <c:numCache>
                <c:formatCode>General</c:formatCode>
                <c:ptCount val="44"/>
                <c:pt idx="0">
                  <c:v>-0.19081000000000045</c:v>
                </c:pt>
                <c:pt idx="1">
                  <c:v>-0.17485999999999999</c:v>
                </c:pt>
                <c:pt idx="2">
                  <c:v>-6.2230000000000132E-2</c:v>
                </c:pt>
                <c:pt idx="3">
                  <c:v>-0.24459000000000086</c:v>
                </c:pt>
                <c:pt idx="4">
                  <c:v>-0.32384000000000207</c:v>
                </c:pt>
                <c:pt idx="5">
                  <c:v>-0.36667000000000038</c:v>
                </c:pt>
                <c:pt idx="6">
                  <c:v>-0.39738000000000362</c:v>
                </c:pt>
                <c:pt idx="7">
                  <c:v>0.13836999999999999</c:v>
                </c:pt>
                <c:pt idx="8">
                  <c:v>-0.17632</c:v>
                </c:pt>
                <c:pt idx="9">
                  <c:v>-0.25586000000000031</c:v>
                </c:pt>
                <c:pt idx="10">
                  <c:v>-0.50980000000000003</c:v>
                </c:pt>
                <c:pt idx="11">
                  <c:v>-0.13692000000000001</c:v>
                </c:pt>
                <c:pt idx="12">
                  <c:v>-0.23247000000000001</c:v>
                </c:pt>
                <c:pt idx="13">
                  <c:v>-0.33326000000000161</c:v>
                </c:pt>
                <c:pt idx="14">
                  <c:v>-0.2707</c:v>
                </c:pt>
                <c:pt idx="15">
                  <c:v>-0.20488000000000001</c:v>
                </c:pt>
                <c:pt idx="16">
                  <c:v>-0.42133000000000032</c:v>
                </c:pt>
                <c:pt idx="17">
                  <c:v>-0.14585999999999999</c:v>
                </c:pt>
                <c:pt idx="18">
                  <c:v>-0.20965</c:v>
                </c:pt>
                <c:pt idx="19">
                  <c:v>0.20951000000000086</c:v>
                </c:pt>
                <c:pt idx="20">
                  <c:v>0.18906000000000098</c:v>
                </c:pt>
                <c:pt idx="21">
                  <c:v>0.20199000000000086</c:v>
                </c:pt>
                <c:pt idx="22">
                  <c:v>0.17877999999999999</c:v>
                </c:pt>
                <c:pt idx="23">
                  <c:v>0.18114000000000041</c:v>
                </c:pt>
                <c:pt idx="24">
                  <c:v>0.13750000000000001</c:v>
                </c:pt>
                <c:pt idx="25">
                  <c:v>0.30848000000000242</c:v>
                </c:pt>
                <c:pt idx="26">
                  <c:v>0.57716999999999996</c:v>
                </c:pt>
                <c:pt idx="27">
                  <c:v>0.23702000000000001</c:v>
                </c:pt>
                <c:pt idx="28">
                  <c:v>0.27144000000000001</c:v>
                </c:pt>
                <c:pt idx="29">
                  <c:v>-3.2350000000000011E-2</c:v>
                </c:pt>
                <c:pt idx="30">
                  <c:v>8.6170000000000024E-2</c:v>
                </c:pt>
                <c:pt idx="31">
                  <c:v>0.10022000000000029</c:v>
                </c:pt>
                <c:pt idx="32">
                  <c:v>0.29331000000000201</c:v>
                </c:pt>
                <c:pt idx="33">
                  <c:v>5.8590000000000204E-2</c:v>
                </c:pt>
                <c:pt idx="34">
                  <c:v>0.33707000000000242</c:v>
                </c:pt>
                <c:pt idx="35">
                  <c:v>0.34486000000000233</c:v>
                </c:pt>
                <c:pt idx="36">
                  <c:v>0.26206000000000002</c:v>
                </c:pt>
                <c:pt idx="37">
                  <c:v>0.18068000000000001</c:v>
                </c:pt>
                <c:pt idx="38">
                  <c:v>0.10639000000000012</c:v>
                </c:pt>
                <c:pt idx="39">
                  <c:v>0.14782999999999999</c:v>
                </c:pt>
                <c:pt idx="40">
                  <c:v>0.1303</c:v>
                </c:pt>
                <c:pt idx="41">
                  <c:v>5.2470000000000024E-2</c:v>
                </c:pt>
                <c:pt idx="42">
                  <c:v>-6.6410000000000122E-2</c:v>
                </c:pt>
                <c:pt idx="43">
                  <c:v>0.12106000000000022</c:v>
                </c:pt>
              </c:numCache>
            </c:numRef>
          </c:yVal>
          <c:smooth val="0"/>
          <c:extLst>
            <c:ext xmlns:c16="http://schemas.microsoft.com/office/drawing/2014/chart" uri="{C3380CC4-5D6E-409C-BE32-E72D297353CC}">
              <c16:uniqueId val="{00000000-02B9-EF4E-9E07-321524DE72B8}"/>
            </c:ext>
          </c:extLst>
        </c:ser>
        <c:ser>
          <c:idx val="1"/>
          <c:order val="1"/>
          <c:tx>
            <c:strRef>
              <c:f>flig!$A$45</c:f>
              <c:strCache>
                <c:ptCount val="1"/>
                <c:pt idx="0">
                  <c:v>Snyder Creek</c:v>
                </c:pt>
              </c:strCache>
            </c:strRef>
          </c:tx>
          <c:spPr>
            <a:ln w="28575">
              <a:noFill/>
            </a:ln>
          </c:spPr>
          <c:xVal>
            <c:numRef>
              <c:f>flig!$C$45:$C$60</c:f>
              <c:numCache>
                <c:formatCode>General</c:formatCode>
                <c:ptCount val="16"/>
                <c:pt idx="0">
                  <c:v>0.40685000000000032</c:v>
                </c:pt>
                <c:pt idx="1">
                  <c:v>1.12416</c:v>
                </c:pt>
                <c:pt idx="2">
                  <c:v>0.71343999999999996</c:v>
                </c:pt>
                <c:pt idx="3">
                  <c:v>0.53145999999999949</c:v>
                </c:pt>
                <c:pt idx="4">
                  <c:v>1.1329400000000001</c:v>
                </c:pt>
                <c:pt idx="5">
                  <c:v>0.74619000000000368</c:v>
                </c:pt>
                <c:pt idx="6">
                  <c:v>0.47041000000000038</c:v>
                </c:pt>
                <c:pt idx="7">
                  <c:v>0.72215000000000062</c:v>
                </c:pt>
                <c:pt idx="8">
                  <c:v>1.1781400000000064</c:v>
                </c:pt>
                <c:pt idx="9">
                  <c:v>1.2217699999999907</c:v>
                </c:pt>
                <c:pt idx="10">
                  <c:v>0.96147000000000005</c:v>
                </c:pt>
                <c:pt idx="11">
                  <c:v>0.72868999999999995</c:v>
                </c:pt>
                <c:pt idx="12">
                  <c:v>0.61481000000000063</c:v>
                </c:pt>
                <c:pt idx="13">
                  <c:v>0.62871000000000321</c:v>
                </c:pt>
                <c:pt idx="14">
                  <c:v>0.57611000000000001</c:v>
                </c:pt>
                <c:pt idx="15">
                  <c:v>1.01881</c:v>
                </c:pt>
              </c:numCache>
            </c:numRef>
          </c:xVal>
          <c:yVal>
            <c:numRef>
              <c:f>flig!$D$45:$D$60</c:f>
              <c:numCache>
                <c:formatCode>General</c:formatCode>
                <c:ptCount val="16"/>
                <c:pt idx="0">
                  <c:v>0.49407000000000184</c:v>
                </c:pt>
                <c:pt idx="1">
                  <c:v>-0.66039000000000414</c:v>
                </c:pt>
                <c:pt idx="2">
                  <c:v>0.10456000000000019</c:v>
                </c:pt>
                <c:pt idx="3">
                  <c:v>4.4030000000000374E-2</c:v>
                </c:pt>
                <c:pt idx="4">
                  <c:v>0.64254999999999995</c:v>
                </c:pt>
                <c:pt idx="5">
                  <c:v>-0.47197000000000161</c:v>
                </c:pt>
                <c:pt idx="6">
                  <c:v>0.21222000000000021</c:v>
                </c:pt>
                <c:pt idx="7">
                  <c:v>1.36206</c:v>
                </c:pt>
                <c:pt idx="8">
                  <c:v>-1.4910099999999935</c:v>
                </c:pt>
                <c:pt idx="9">
                  <c:v>-0.31769000000000008</c:v>
                </c:pt>
                <c:pt idx="10">
                  <c:v>-1.1176299999999928</c:v>
                </c:pt>
                <c:pt idx="11">
                  <c:v>-0.58616999999999775</c:v>
                </c:pt>
                <c:pt idx="12">
                  <c:v>-4.3450000000000003E-2</c:v>
                </c:pt>
                <c:pt idx="13">
                  <c:v>0.20571000000000086</c:v>
                </c:pt>
                <c:pt idx="14">
                  <c:v>6.9840000000000124E-2</c:v>
                </c:pt>
                <c:pt idx="15">
                  <c:v>1.4693099999999928</c:v>
                </c:pt>
              </c:numCache>
            </c:numRef>
          </c:yVal>
          <c:smooth val="0"/>
          <c:extLst>
            <c:ext xmlns:c16="http://schemas.microsoft.com/office/drawing/2014/chart" uri="{C3380CC4-5D6E-409C-BE32-E72D297353CC}">
              <c16:uniqueId val="{00000001-02B9-EF4E-9E07-321524DE72B8}"/>
            </c:ext>
          </c:extLst>
        </c:ser>
        <c:dLbls>
          <c:showLegendKey val="0"/>
          <c:showVal val="0"/>
          <c:showCatName val="0"/>
          <c:showSerName val="0"/>
          <c:showPercent val="0"/>
          <c:showBubbleSize val="0"/>
        </c:dLbls>
        <c:axId val="120247424"/>
        <c:axId val="120248960"/>
      </c:scatterChart>
      <c:valAx>
        <c:axId val="120247424"/>
        <c:scaling>
          <c:orientation val="minMax"/>
        </c:scaling>
        <c:delete val="0"/>
        <c:axPos val="b"/>
        <c:numFmt formatCode="General" sourceLinked="1"/>
        <c:majorTickMark val="out"/>
        <c:minorTickMark val="none"/>
        <c:tickLblPos val="nextTo"/>
        <c:crossAx val="120248960"/>
        <c:crosses val="autoZero"/>
        <c:crossBetween val="midCat"/>
      </c:valAx>
      <c:valAx>
        <c:axId val="120248960"/>
        <c:scaling>
          <c:orientation val="minMax"/>
        </c:scaling>
        <c:delete val="0"/>
        <c:axPos val="l"/>
        <c:numFmt formatCode="General" sourceLinked="1"/>
        <c:majorTickMark val="out"/>
        <c:minorTickMark val="none"/>
        <c:tickLblPos val="nextTo"/>
        <c:crossAx val="120247424"/>
        <c:crosses val="autoZero"/>
        <c:crossBetween val="midCat"/>
      </c:valAx>
      <c:spPr>
        <a:ln>
          <a:noFill/>
        </a:ln>
      </c:spPr>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1102</Words>
  <Characters>6385</Characters>
  <Application>Microsoft Office Word</Application>
  <DocSecurity>0</DocSecurity>
  <Lines>131</Lines>
  <Paragraphs>43</Paragraphs>
  <ScaleCrop>false</ScaleCrop>
  <HeadingPairs>
    <vt:vector size="2" baseType="variant">
      <vt:variant>
        <vt:lpstr>Title</vt:lpstr>
      </vt:variant>
      <vt:variant>
        <vt:i4>1</vt:i4>
      </vt:variant>
    </vt:vector>
  </HeadingPairs>
  <TitlesOfParts>
    <vt:vector size="1" baseType="lpstr">
      <vt:lpstr/>
    </vt:vector>
  </TitlesOfParts>
  <Company>U.S. Fish &amp; Wildlife Service</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DeHaan, Patrick</dc:creator>
  <cp:lastModifiedBy>McCall, John</cp:lastModifiedBy>
  <cp:revision>13</cp:revision>
  <dcterms:created xsi:type="dcterms:W3CDTF">2015-12-21T20:56:00Z</dcterms:created>
  <dcterms:modified xsi:type="dcterms:W3CDTF">2026-04-04T19:48:00Z</dcterms:modified>
</cp:coreProperties>
</file>