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CBB1" w14:textId="77777777" w:rsidR="00300814" w:rsidRPr="00443961" w:rsidRDefault="00300814" w:rsidP="00300814">
      <w:pPr>
        <w:jc w:val="center"/>
        <w:rPr>
          <w:rFonts w:cs="Times New Roman"/>
          <w:i/>
          <w:iCs/>
          <w:szCs w:val="24"/>
        </w:rPr>
      </w:pPr>
      <w:r w:rsidRPr="00A805D1">
        <w:rPr>
          <w:rFonts w:cs="Times New Roman"/>
          <w:i/>
          <w:iCs/>
          <w:szCs w:val="24"/>
        </w:rPr>
        <w:t>Ecology</w:t>
      </w:r>
      <w:r>
        <w:rPr>
          <w:rFonts w:cs="Times New Roman"/>
          <w:i/>
          <w:iCs/>
          <w:szCs w:val="24"/>
        </w:rPr>
        <w:t xml:space="preserve"> of Freshwater Fish</w:t>
      </w:r>
    </w:p>
    <w:p w14:paraId="52BA2A75" w14:textId="77777777" w:rsidR="00300814" w:rsidRPr="00BC5414" w:rsidRDefault="00300814" w:rsidP="00300814">
      <w:pPr>
        <w:jc w:val="center"/>
        <w:rPr>
          <w:rFonts w:cs="Times New Roman"/>
          <w:i/>
          <w:iCs/>
          <w:szCs w:val="24"/>
        </w:rPr>
      </w:pPr>
    </w:p>
    <w:p w14:paraId="4AFB9D39" w14:textId="77777777" w:rsidR="00052800" w:rsidRDefault="00052800" w:rsidP="00052800">
      <w:pPr>
        <w:spacing w:line="240" w:lineRule="auto"/>
        <w:ind w:firstLine="720"/>
        <w:jc w:val="center"/>
        <w:rPr>
          <w:rFonts w:cs="Times New Roman"/>
          <w:szCs w:val="24"/>
        </w:rPr>
      </w:pPr>
      <w:r w:rsidRPr="00052800">
        <w:rPr>
          <w:rFonts w:cs="Times New Roman"/>
          <w:szCs w:val="24"/>
        </w:rPr>
        <w:t xml:space="preserve">Mr. Mom: </w:t>
      </w:r>
      <w:r w:rsidRPr="00052800">
        <w:rPr>
          <w:rFonts w:cs="Times New Roman"/>
          <w:i/>
          <w:szCs w:val="24"/>
        </w:rPr>
        <w:t>Nocomis</w:t>
      </w:r>
      <w:r w:rsidRPr="00052800">
        <w:rPr>
          <w:rFonts w:cs="Times New Roman"/>
          <w:szCs w:val="24"/>
        </w:rPr>
        <w:t xml:space="preserve"> embryo-burying effectively increases embryo survival amidst predation by all mutualism participants</w:t>
      </w:r>
      <w:r w:rsidRPr="00052800" w:rsidDel="00693A7A">
        <w:rPr>
          <w:rFonts w:cs="Times New Roman"/>
          <w:szCs w:val="24"/>
        </w:rPr>
        <w:t xml:space="preserve"> </w:t>
      </w:r>
    </w:p>
    <w:p w14:paraId="31CB81EE" w14:textId="227AF1A6" w:rsidR="00300814" w:rsidRDefault="00300814" w:rsidP="00300814">
      <w:pPr>
        <w:spacing w:line="480" w:lineRule="auto"/>
        <w:ind w:firstLine="720"/>
        <w:jc w:val="center"/>
        <w:rPr>
          <w:rFonts w:cs="Times New Roman"/>
          <w:szCs w:val="24"/>
          <w:vertAlign w:val="superscript"/>
        </w:rPr>
      </w:pPr>
      <w:r w:rsidRPr="00B155EE">
        <w:rPr>
          <w:rFonts w:cs="Times New Roman"/>
          <w:szCs w:val="24"/>
        </w:rPr>
        <w:t>Madison M. Betts</w:t>
      </w:r>
      <w:r w:rsidRPr="00B155EE">
        <w:rPr>
          <w:rFonts w:cs="Times New Roman"/>
          <w:szCs w:val="24"/>
          <w:vertAlign w:val="superscript"/>
        </w:rPr>
        <w:t>1</w:t>
      </w:r>
      <w:r w:rsidRPr="00B155EE">
        <w:rPr>
          <w:rFonts w:cs="Times New Roman"/>
          <w:szCs w:val="24"/>
        </w:rPr>
        <w:t xml:space="preserve">, </w:t>
      </w:r>
      <w:r>
        <w:rPr>
          <w:rFonts w:cs="Times New Roman"/>
          <w:szCs w:val="24"/>
        </w:rPr>
        <w:t>David C. Haak</w:t>
      </w:r>
      <w:r>
        <w:rPr>
          <w:rFonts w:cs="Times New Roman"/>
          <w:szCs w:val="24"/>
          <w:vertAlign w:val="superscript"/>
        </w:rPr>
        <w:t>2</w:t>
      </w:r>
      <w:r>
        <w:rPr>
          <w:rFonts w:cs="Times New Roman"/>
          <w:szCs w:val="24"/>
        </w:rPr>
        <w:t xml:space="preserve">, </w:t>
      </w:r>
      <w:r w:rsidRPr="00B155EE">
        <w:rPr>
          <w:rFonts w:cs="Times New Roman"/>
          <w:szCs w:val="24"/>
        </w:rPr>
        <w:t xml:space="preserve">Eric </w:t>
      </w:r>
      <w:r>
        <w:rPr>
          <w:rFonts w:cs="Times New Roman"/>
          <w:szCs w:val="24"/>
        </w:rPr>
        <w:t xml:space="preserve">M. </w:t>
      </w:r>
      <w:r w:rsidRPr="00B155EE">
        <w:rPr>
          <w:rFonts w:cs="Times New Roman"/>
          <w:szCs w:val="24"/>
        </w:rPr>
        <w:t>Hallerman</w:t>
      </w:r>
      <w:r w:rsidRPr="00B155EE">
        <w:rPr>
          <w:rFonts w:cs="Times New Roman"/>
          <w:szCs w:val="24"/>
          <w:vertAlign w:val="superscript"/>
        </w:rPr>
        <w:t>1</w:t>
      </w:r>
      <w:r>
        <w:rPr>
          <w:rFonts w:cs="Times New Roman"/>
          <w:szCs w:val="24"/>
        </w:rPr>
        <w:t>, E</w:t>
      </w:r>
      <w:r w:rsidRPr="00B155EE">
        <w:rPr>
          <w:rFonts w:cs="Times New Roman"/>
          <w:szCs w:val="24"/>
        </w:rPr>
        <w:t>ugene G. Maurakis</w:t>
      </w:r>
      <w:r>
        <w:rPr>
          <w:rFonts w:cs="Times New Roman"/>
          <w:szCs w:val="24"/>
          <w:vertAlign w:val="superscript"/>
        </w:rPr>
        <w:t>3</w:t>
      </w:r>
      <w:r>
        <w:rPr>
          <w:rFonts w:cs="Times New Roman"/>
          <w:szCs w:val="24"/>
        </w:rPr>
        <w:t xml:space="preserve">, </w:t>
      </w:r>
      <w:r w:rsidRPr="00B155EE">
        <w:rPr>
          <w:rFonts w:cs="Times New Roman"/>
          <w:szCs w:val="24"/>
        </w:rPr>
        <w:t>Emmanuel A. Frimpong</w:t>
      </w:r>
      <w:r w:rsidRPr="00B155EE">
        <w:rPr>
          <w:rFonts w:cs="Times New Roman"/>
          <w:szCs w:val="24"/>
          <w:vertAlign w:val="superscript"/>
        </w:rPr>
        <w:t>1</w:t>
      </w:r>
      <w:r w:rsidR="00E557E5">
        <w:rPr>
          <w:rFonts w:cs="Times New Roman"/>
          <w:szCs w:val="24"/>
          <w:vertAlign w:val="superscript"/>
        </w:rPr>
        <w:t>*</w:t>
      </w:r>
    </w:p>
    <w:p w14:paraId="6744425A" w14:textId="77777777" w:rsidR="00300814" w:rsidRPr="00443961" w:rsidRDefault="00300814" w:rsidP="00300814">
      <w:pPr>
        <w:spacing w:line="480" w:lineRule="auto"/>
        <w:jc w:val="center"/>
        <w:rPr>
          <w:rFonts w:cs="Times New Roman"/>
          <w:szCs w:val="24"/>
        </w:rPr>
      </w:pPr>
      <w:r>
        <w:rPr>
          <w:rFonts w:cs="Times New Roman"/>
          <w:szCs w:val="24"/>
        </w:rPr>
        <w:t>APPENDIX S1</w:t>
      </w:r>
    </w:p>
    <w:p w14:paraId="40B26E0E" w14:textId="77777777" w:rsidR="00300814" w:rsidRPr="004A49DE" w:rsidRDefault="00300814" w:rsidP="00300814">
      <w:pPr>
        <w:spacing w:line="480" w:lineRule="auto"/>
        <w:ind w:firstLine="720"/>
        <w:rPr>
          <w:rFonts w:cs="Times New Roman"/>
          <w:bCs/>
          <w:i/>
          <w:iCs/>
          <w:szCs w:val="24"/>
        </w:rPr>
      </w:pPr>
      <w:r w:rsidRPr="004A49DE">
        <w:rPr>
          <w:rFonts w:cs="Times New Roman"/>
          <w:szCs w:val="24"/>
        </w:rPr>
        <w:t xml:space="preserve">DNA was extracted </w:t>
      </w:r>
      <w:r w:rsidRPr="004A49DE">
        <w:rPr>
          <w:rFonts w:cs="Times New Roman"/>
          <w:bCs/>
          <w:szCs w:val="24"/>
        </w:rPr>
        <w:t>with the DNeasy Blood and Tissue Kit (Qiagen, Germantown, MD), using the protocols for tissue and 4-6 hours of incubation with Proteinase K at 56</w:t>
      </w:r>
      <w:r w:rsidRPr="004A49DE">
        <w:rPr>
          <w:rFonts w:cs="Times New Roman"/>
          <w:szCs w:val="24"/>
        </w:rPr>
        <w:t xml:space="preserve">°C </w:t>
      </w:r>
      <w:r w:rsidRPr="004A49DE">
        <w:rPr>
          <w:rFonts w:cs="Times New Roman"/>
          <w:bCs/>
          <w:szCs w:val="24"/>
        </w:rPr>
        <w:t xml:space="preserve">for lysis. Purities and concentrations of extracted samples were confirmed with a μLite PC spectrophotometer (Biodrop, Cambridge, UK). We amplified and sequenced amplicons from six female chub, four male chub, three female central stoneroller, four male central stoneroller, four female mountain redbelly dace, and three male mountain redbelly dace samples. </w:t>
      </w:r>
    </w:p>
    <w:p w14:paraId="1834F67D" w14:textId="77777777" w:rsidR="00300814" w:rsidRPr="004A49DE" w:rsidRDefault="00300814" w:rsidP="00300814">
      <w:pPr>
        <w:spacing w:line="480" w:lineRule="auto"/>
        <w:rPr>
          <w:rFonts w:cs="Times New Roman"/>
          <w:szCs w:val="24"/>
        </w:rPr>
      </w:pPr>
      <w:r w:rsidRPr="004A49DE">
        <w:rPr>
          <w:rFonts w:cs="Times New Roman"/>
          <w:szCs w:val="24"/>
        </w:rPr>
        <w:tab/>
        <w:t>Mitochondrial cytochrome oxidase I (</w:t>
      </w:r>
      <w:r w:rsidRPr="004A49DE">
        <w:rPr>
          <w:rFonts w:cs="Times New Roman"/>
          <w:i/>
          <w:szCs w:val="24"/>
        </w:rPr>
        <w:t>COI-3</w:t>
      </w:r>
      <w:r w:rsidRPr="004A49DE">
        <w:rPr>
          <w:rFonts w:cs="Times New Roman"/>
          <w:szCs w:val="24"/>
        </w:rPr>
        <w:t xml:space="preserve">) sequences were amplified using </w:t>
      </w:r>
      <w:r w:rsidRPr="004A49DE">
        <w:rPr>
          <w:rFonts w:cs="Times New Roman"/>
          <w:bCs/>
          <w:szCs w:val="24"/>
        </w:rPr>
        <w:t>VF2_t1 and FishR2_t1</w:t>
      </w:r>
      <w:r w:rsidRPr="004A49DE">
        <w:rPr>
          <w:rFonts w:cs="Times New Roman"/>
          <w:szCs w:val="24"/>
        </w:rPr>
        <w:t xml:space="preserve"> primers from Ivanova et al. (2007) to which Illumina adapter overhang nucleotide sequences were added (Forward: 5’ TCGTCGGCAGCGTCAGATGTGTATAAGAGACAG‐[</w:t>
      </w:r>
      <w:r w:rsidRPr="004A49DE">
        <w:rPr>
          <w:rFonts w:cs="Times New Roman"/>
          <w:i/>
          <w:iCs/>
          <w:szCs w:val="24"/>
        </w:rPr>
        <w:t>COI</w:t>
      </w:r>
      <w:r w:rsidRPr="004A49DE">
        <w:rPr>
          <w:rFonts w:cs="Times New Roman"/>
          <w:szCs w:val="24"/>
        </w:rPr>
        <w:t xml:space="preserve"> forward primer and sequence], and Reverse: 5’ GTCTCGTGGGCTCGGAGATGTGTATAAGAGACAG‐[</w:t>
      </w:r>
      <w:r w:rsidRPr="004A49DE">
        <w:rPr>
          <w:rFonts w:cs="Times New Roman"/>
          <w:i/>
          <w:iCs/>
          <w:szCs w:val="24"/>
        </w:rPr>
        <w:t xml:space="preserve">COI </w:t>
      </w:r>
      <w:r w:rsidRPr="004A49DE">
        <w:rPr>
          <w:rFonts w:cs="Times New Roman"/>
          <w:szCs w:val="24"/>
        </w:rPr>
        <w:t xml:space="preserve">reverse primer]). PCR was conducted according to </w:t>
      </w:r>
      <w:r>
        <w:rPr>
          <w:rFonts w:cs="Times New Roman"/>
          <w:szCs w:val="24"/>
        </w:rPr>
        <w:t xml:space="preserve">the </w:t>
      </w:r>
      <w:r w:rsidRPr="004A49DE">
        <w:rPr>
          <w:rFonts w:cs="Times New Roman"/>
          <w:szCs w:val="24"/>
        </w:rPr>
        <w:t>Illumina’s MiSeq</w:t>
      </w:r>
      <w:r w:rsidRPr="004A49DE">
        <w:rPr>
          <w:rFonts w:cs="Times New Roman"/>
          <w:bCs/>
          <w:szCs w:val="24"/>
        </w:rPr>
        <w:t xml:space="preserve"> manufacturer</w:t>
      </w:r>
      <w:r>
        <w:rPr>
          <w:rFonts w:cs="Times New Roman"/>
          <w:bCs/>
          <w:szCs w:val="24"/>
        </w:rPr>
        <w:t>’</w:t>
      </w:r>
      <w:r w:rsidRPr="004A49DE">
        <w:rPr>
          <w:rFonts w:cs="Times New Roman"/>
          <w:bCs/>
          <w:szCs w:val="24"/>
        </w:rPr>
        <w:t xml:space="preserve">s protocol. Amplification was performed in a total volume of 25.0 </w:t>
      </w:r>
      <w:r w:rsidRPr="004A49DE">
        <w:rPr>
          <w:rFonts w:cs="Times New Roman"/>
          <w:szCs w:val="24"/>
        </w:rPr>
        <w:t xml:space="preserve">μL, with </w:t>
      </w:r>
      <w:r w:rsidRPr="004A49DE">
        <w:rPr>
          <w:rFonts w:cs="Times New Roman"/>
          <w:bCs/>
          <w:szCs w:val="24"/>
        </w:rPr>
        <w:t xml:space="preserve">5.0 </w:t>
      </w:r>
      <w:r w:rsidRPr="004A49DE">
        <w:rPr>
          <w:rFonts w:cs="Times New Roman"/>
          <w:szCs w:val="24"/>
        </w:rPr>
        <w:t>μL of each primer (1.0 μM), 12.5 μL of 2x KAPA HiFi HotStart ReadyMix (Roche, Basel, Switzerland), and 2.5 μL DNA template (5.0 ng/μL). T</w:t>
      </w:r>
      <w:r w:rsidRPr="004A49DE">
        <w:rPr>
          <w:rFonts w:cs="Times New Roman"/>
          <w:bCs/>
          <w:szCs w:val="24"/>
        </w:rPr>
        <w:t xml:space="preserve">he thermocycle profile used was: denaturation at 95°C for 3 min; 25 cycles of: denaturation at 95°C for 30 sec, annealing at 55°C for 30 sec, and extension at 72°C for 30 sec; final extension at 72°C for five minutes, and indefinite hold at 4°C. </w:t>
      </w:r>
      <w:r w:rsidRPr="004A49DE">
        <w:rPr>
          <w:rFonts w:cs="Times New Roman"/>
          <w:szCs w:val="24"/>
        </w:rPr>
        <w:t xml:space="preserve">Amplicon size was verified </w:t>
      </w:r>
      <w:r w:rsidRPr="004A49DE">
        <w:rPr>
          <w:rFonts w:cs="Times New Roman"/>
          <w:szCs w:val="24"/>
        </w:rPr>
        <w:lastRenderedPageBreak/>
        <w:t xml:space="preserve">by running 1.0 μL of PCR product on a Bioanalyzer DNA 1000 chip (Agilent Technologies, Santa Clara, CA). Dual indices and Illumina sequencing adapters were added to individual amplification products using the Nextera XT Index Kit (Illumina, San Diego, CA), which were pooled into libraries (Bohmann et al. 2022). In preparation for cluster generation and sequencing, pooled libraries were denatured with NaOH, diluted with hybridization buffer, and then heat-denatured. Libraries were sequenced at the Genomics Sequencing Center at Virginia Tech’s Fralin Life Sciences Institute using the MiSeq Next-Gen Sequencing platform (Illumina).  </w:t>
      </w:r>
    </w:p>
    <w:p w14:paraId="42E0E65D" w14:textId="77777777" w:rsidR="00300814" w:rsidRPr="004A49DE" w:rsidRDefault="00300814" w:rsidP="00300814">
      <w:pPr>
        <w:spacing w:line="480" w:lineRule="auto"/>
        <w:ind w:firstLine="720"/>
        <w:rPr>
          <w:rFonts w:cs="Times New Roman"/>
          <w:color w:val="000000"/>
          <w:szCs w:val="24"/>
        </w:rPr>
      </w:pPr>
      <w:r w:rsidRPr="004A49DE">
        <w:rPr>
          <w:rFonts w:cs="Times New Roman"/>
          <w:color w:val="000000"/>
          <w:szCs w:val="24"/>
        </w:rPr>
        <w:t>Demultiplexed raw reads were processed in the R computing environment (R Core Team 2021). The package manager Bioconductor (Callahan et al. 2016) was used to implement packages, including DADA2 1.12.1 (Callahan et al. 2016), ggplot2 3.2.1 (Wick</w:t>
      </w:r>
      <w:r>
        <w:rPr>
          <w:rFonts w:cs="Times New Roman"/>
          <w:color w:val="000000"/>
          <w:szCs w:val="24"/>
        </w:rPr>
        <w:t>ham 2015), phyloseq 1.28.0 (McM</w:t>
      </w:r>
      <w:r w:rsidRPr="004A49DE">
        <w:rPr>
          <w:rFonts w:cs="Times New Roman"/>
          <w:color w:val="000000"/>
          <w:szCs w:val="24"/>
        </w:rPr>
        <w:t>urdie and Holmes n.d.), and vegan 2.5-6 (Oksanen et al. 2019). Raw reads were quality processed using methods laid out in the DADA2 tutorial (Callahan et al. 2016). The reads were first visualized using the “plotQualityProfile” function in DADA2, which allowed us to monitor for low-quality reads. No trimming was necessary, so we maintained the full ~150bp of the reads for analyses. The “learnErrors” function was then used to evaluate the error rate of the data set. The “derepFastq” function was used to combine identical sequences into unique sequences, and from this a table of amplicon sequence variants (ASVs) was generated using the “makeSequenceTable” function.</w:t>
      </w:r>
      <w:r w:rsidRPr="004A49DE">
        <w:rPr>
          <w:rFonts w:cs="Times New Roman"/>
          <w:szCs w:val="24"/>
        </w:rPr>
        <w:t xml:space="preserve"> </w:t>
      </w:r>
      <w:r w:rsidRPr="004A49DE">
        <w:rPr>
          <w:rFonts w:cs="Times New Roman"/>
          <w:color w:val="000000"/>
          <w:szCs w:val="24"/>
        </w:rPr>
        <w:t>Chimeric reads were removed using the “removeBimeraDenovo” function.</w:t>
      </w:r>
    </w:p>
    <w:p w14:paraId="48F2462A" w14:textId="77777777" w:rsidR="00300814" w:rsidRDefault="00300814" w:rsidP="00300814">
      <w:pPr>
        <w:spacing w:line="480" w:lineRule="auto"/>
        <w:ind w:firstLine="720"/>
        <w:rPr>
          <w:rStyle w:val="Hyperlink"/>
          <w:rFonts w:cs="Times New Roman"/>
          <w:szCs w:val="24"/>
        </w:rPr>
      </w:pPr>
      <w:r w:rsidRPr="004A49DE">
        <w:rPr>
          <w:rFonts w:cs="Times New Roman"/>
          <w:color w:val="000000"/>
          <w:szCs w:val="24"/>
        </w:rPr>
        <w:t xml:space="preserve">Classification of surviving ASVs was completed by exporting a .fasta file containing sequences for use with the python program BOLDigger (Buchner and Leese 2020) command line tools. Taxonomic identification was performed using the “ie_coi” setting which employs the Barcode of Life Data System (BOLD) COI identification engine. Associated metadata was </w:t>
      </w:r>
      <w:r w:rsidRPr="004A49DE">
        <w:rPr>
          <w:rFonts w:cs="Times New Roman"/>
          <w:color w:val="000000"/>
          <w:szCs w:val="24"/>
        </w:rPr>
        <w:lastRenderedPageBreak/>
        <w:t xml:space="preserve">obtained via the “add_metadata” option. Single best hits were identified by the “digger_hit” algorithm. These taxonomic annotations were combined with the ASV table, and final analyses were completed in R. Raw abundance ASV counts were obtained by subtracting self reads from the individual sample sets. All scripts, figures, and data can be found at: </w:t>
      </w:r>
      <w:hyperlink r:id="rId4" w:history="1">
        <w:r w:rsidRPr="004A49DE">
          <w:rPr>
            <w:rStyle w:val="Hyperlink"/>
            <w:rFonts w:cs="Times New Roman"/>
            <w:szCs w:val="24"/>
          </w:rPr>
          <w:t>https://github.com/davidhaak/dividednestsMS</w:t>
        </w:r>
      </w:hyperlink>
      <w:r>
        <w:rPr>
          <w:rStyle w:val="Hyperlink"/>
          <w:rFonts w:cs="Times New Roman"/>
          <w:szCs w:val="24"/>
        </w:rPr>
        <w:t xml:space="preserve">            </w:t>
      </w:r>
    </w:p>
    <w:p w14:paraId="117AA4EF" w14:textId="77777777" w:rsidR="00300814" w:rsidRDefault="00300814" w:rsidP="00300814">
      <w:pPr>
        <w:spacing w:line="240" w:lineRule="auto"/>
        <w:ind w:left="720" w:hanging="720"/>
        <w:rPr>
          <w:color w:val="000000"/>
        </w:rPr>
      </w:pPr>
      <w:r w:rsidRPr="00397E46">
        <w:rPr>
          <w:color w:val="000000"/>
        </w:rPr>
        <w:t>R</w:t>
      </w:r>
      <w:r>
        <w:rPr>
          <w:color w:val="000000"/>
        </w:rPr>
        <w:t>EFERENCES</w:t>
      </w:r>
    </w:p>
    <w:p w14:paraId="291618FA" w14:textId="77777777" w:rsidR="00300814" w:rsidRDefault="00300814" w:rsidP="00300814">
      <w:pPr>
        <w:ind w:left="720" w:hanging="720"/>
        <w:rPr>
          <w:rFonts w:cs="Times New Roman"/>
          <w:szCs w:val="24"/>
        </w:rPr>
      </w:pPr>
      <w:r w:rsidRPr="00577E33">
        <w:rPr>
          <w:rFonts w:cs="Times New Roman"/>
          <w:szCs w:val="24"/>
        </w:rPr>
        <w:t>Buchner, D., &amp; Leese, F. (2020). BOLDigger–a Python package to identify and organise sequences with the Barcode of Life Data systems. </w:t>
      </w:r>
      <w:r w:rsidRPr="00577E33">
        <w:rPr>
          <w:rFonts w:cs="Times New Roman"/>
          <w:i/>
          <w:iCs/>
          <w:szCs w:val="24"/>
        </w:rPr>
        <w:t>Metabarcoding and Metagenomics</w:t>
      </w:r>
      <w:r w:rsidRPr="00577E33">
        <w:rPr>
          <w:rFonts w:cs="Times New Roman"/>
          <w:szCs w:val="24"/>
        </w:rPr>
        <w:t>, </w:t>
      </w:r>
      <w:r w:rsidRPr="00577E33">
        <w:rPr>
          <w:rFonts w:cs="Times New Roman"/>
          <w:i/>
          <w:iCs/>
          <w:szCs w:val="24"/>
        </w:rPr>
        <w:t>4</w:t>
      </w:r>
      <w:r w:rsidRPr="00577E33">
        <w:rPr>
          <w:rFonts w:cs="Times New Roman"/>
          <w:szCs w:val="24"/>
        </w:rPr>
        <w:t>, e53535.</w:t>
      </w:r>
    </w:p>
    <w:p w14:paraId="4FC8F27B" w14:textId="77777777" w:rsidR="00300814" w:rsidRDefault="00300814" w:rsidP="00300814">
      <w:pPr>
        <w:spacing w:line="240" w:lineRule="auto"/>
        <w:ind w:left="720" w:hanging="720"/>
        <w:rPr>
          <w:rFonts w:cs="Times New Roman"/>
          <w:i/>
          <w:iCs/>
          <w:szCs w:val="24"/>
        </w:rPr>
      </w:pPr>
      <w:r w:rsidRPr="0023795B">
        <w:rPr>
          <w:rFonts w:cs="Times New Roman"/>
          <w:szCs w:val="24"/>
        </w:rPr>
        <w:t>Bohmann, K</w:t>
      </w:r>
      <w:r>
        <w:rPr>
          <w:rFonts w:cs="Times New Roman"/>
          <w:szCs w:val="24"/>
        </w:rPr>
        <w:t>.</w:t>
      </w:r>
      <w:r w:rsidRPr="0023795B">
        <w:rPr>
          <w:rFonts w:cs="Times New Roman"/>
          <w:szCs w:val="24"/>
        </w:rPr>
        <w:t>, Elbrecht,</w:t>
      </w:r>
      <w:r>
        <w:rPr>
          <w:rFonts w:cs="Times New Roman"/>
          <w:szCs w:val="24"/>
        </w:rPr>
        <w:t xml:space="preserve"> V.,</w:t>
      </w:r>
      <w:r w:rsidRPr="0023795B">
        <w:rPr>
          <w:rFonts w:cs="Times New Roman"/>
          <w:szCs w:val="24"/>
        </w:rPr>
        <w:t xml:space="preserve"> Carøe,</w:t>
      </w:r>
      <w:r>
        <w:rPr>
          <w:rFonts w:cs="Times New Roman"/>
          <w:szCs w:val="24"/>
        </w:rPr>
        <w:t xml:space="preserve"> C.,</w:t>
      </w:r>
      <w:r w:rsidRPr="0023795B">
        <w:rPr>
          <w:rFonts w:cs="Times New Roman"/>
          <w:szCs w:val="24"/>
        </w:rPr>
        <w:t xml:space="preserve"> Bista, </w:t>
      </w:r>
      <w:r>
        <w:rPr>
          <w:rFonts w:cs="Times New Roman"/>
          <w:szCs w:val="24"/>
        </w:rPr>
        <w:t xml:space="preserve">I., </w:t>
      </w:r>
      <w:r w:rsidRPr="0023795B">
        <w:rPr>
          <w:rFonts w:cs="Times New Roman"/>
          <w:szCs w:val="24"/>
        </w:rPr>
        <w:t>Leese,</w:t>
      </w:r>
      <w:r>
        <w:rPr>
          <w:rFonts w:cs="Times New Roman"/>
          <w:szCs w:val="24"/>
        </w:rPr>
        <w:t xml:space="preserve"> F., </w:t>
      </w:r>
      <w:r w:rsidRPr="0023795B">
        <w:rPr>
          <w:rFonts w:cs="Times New Roman"/>
          <w:szCs w:val="24"/>
        </w:rPr>
        <w:t xml:space="preserve">Bunce, </w:t>
      </w:r>
      <w:r>
        <w:rPr>
          <w:rFonts w:cs="Times New Roman"/>
          <w:szCs w:val="24"/>
        </w:rPr>
        <w:t xml:space="preserve">M., Yu, D. W., Seymour, M., Dumbrell, A. J., &amp; </w:t>
      </w:r>
      <w:r w:rsidRPr="0023795B">
        <w:rPr>
          <w:rFonts w:cs="Times New Roman"/>
          <w:szCs w:val="24"/>
        </w:rPr>
        <w:t>Creer</w:t>
      </w:r>
      <w:r>
        <w:rPr>
          <w:rFonts w:cs="Times New Roman"/>
          <w:szCs w:val="24"/>
        </w:rPr>
        <w:t>, S. (</w:t>
      </w:r>
      <w:r w:rsidRPr="0023795B">
        <w:rPr>
          <w:rFonts w:cs="Times New Roman"/>
          <w:szCs w:val="24"/>
        </w:rPr>
        <w:t>2022</w:t>
      </w:r>
      <w:r>
        <w:rPr>
          <w:rFonts w:cs="Times New Roman"/>
          <w:szCs w:val="24"/>
        </w:rPr>
        <w:t>)</w:t>
      </w:r>
      <w:r w:rsidRPr="0023795B">
        <w:rPr>
          <w:rFonts w:cs="Times New Roman"/>
          <w:szCs w:val="24"/>
        </w:rPr>
        <w:t>. Strategies for sample labelling and library preparation in DNA metabarcoding studies. </w:t>
      </w:r>
      <w:r w:rsidRPr="00577E33">
        <w:rPr>
          <w:rFonts w:cs="Times New Roman"/>
          <w:i/>
          <w:iCs/>
          <w:szCs w:val="24"/>
        </w:rPr>
        <w:t>Molecular Ecology Resources, 22(4), 1231-1246</w:t>
      </w:r>
    </w:p>
    <w:p w14:paraId="6B0B3358" w14:textId="77777777" w:rsidR="00300814" w:rsidRPr="0023795B" w:rsidRDefault="00300814" w:rsidP="00300814">
      <w:pPr>
        <w:spacing w:line="240" w:lineRule="auto"/>
        <w:ind w:left="720" w:hanging="720"/>
        <w:rPr>
          <w:rFonts w:cs="Times New Roman"/>
          <w:szCs w:val="24"/>
        </w:rPr>
      </w:pPr>
      <w:r w:rsidRPr="00577E33">
        <w:rPr>
          <w:rFonts w:cs="Times New Roman"/>
          <w:szCs w:val="24"/>
        </w:rPr>
        <w:t xml:space="preserve">Callahan, B. J., Sankaran, K., Fukuyama, J. A., McMurdie, P. J., &amp; Holmes, S. P. (2016).  </w:t>
      </w:r>
      <w:r w:rsidRPr="006E43BF">
        <w:rPr>
          <w:rFonts w:cs="Times New Roman"/>
          <w:szCs w:val="24"/>
        </w:rPr>
        <w:t xml:space="preserve">Bioconductor </w:t>
      </w:r>
      <w:r>
        <w:rPr>
          <w:rFonts w:cs="Times New Roman"/>
          <w:szCs w:val="24"/>
        </w:rPr>
        <w:t>w</w:t>
      </w:r>
      <w:r w:rsidRPr="006E43BF">
        <w:rPr>
          <w:rFonts w:cs="Times New Roman"/>
          <w:szCs w:val="24"/>
        </w:rPr>
        <w:t xml:space="preserve">orkflow for </w:t>
      </w:r>
      <w:r>
        <w:rPr>
          <w:rFonts w:cs="Times New Roman"/>
          <w:szCs w:val="24"/>
        </w:rPr>
        <w:t>m</w:t>
      </w:r>
      <w:r w:rsidRPr="006E43BF">
        <w:rPr>
          <w:rFonts w:cs="Times New Roman"/>
          <w:szCs w:val="24"/>
        </w:rPr>
        <w:t xml:space="preserve">icrobiome </w:t>
      </w:r>
      <w:r>
        <w:rPr>
          <w:rFonts w:cs="Times New Roman"/>
          <w:szCs w:val="24"/>
        </w:rPr>
        <w:t>d</w:t>
      </w:r>
      <w:r w:rsidRPr="006E43BF">
        <w:rPr>
          <w:rFonts w:cs="Times New Roman"/>
          <w:szCs w:val="24"/>
        </w:rPr>
        <w:t xml:space="preserve">ata </w:t>
      </w:r>
      <w:r>
        <w:rPr>
          <w:rFonts w:cs="Times New Roman"/>
          <w:szCs w:val="24"/>
        </w:rPr>
        <w:t>a</w:t>
      </w:r>
      <w:r w:rsidRPr="006E43BF">
        <w:rPr>
          <w:rFonts w:cs="Times New Roman"/>
          <w:szCs w:val="24"/>
        </w:rPr>
        <w:t>nalysis: from raw reads to community analyses.</w:t>
      </w:r>
      <w:r>
        <w:rPr>
          <w:rFonts w:cs="Times New Roman"/>
          <w:szCs w:val="24"/>
        </w:rPr>
        <w:t xml:space="preserve"> </w:t>
      </w:r>
      <w:r w:rsidRPr="00F71FC4">
        <w:rPr>
          <w:rFonts w:cs="Times New Roman"/>
          <w:i/>
          <w:iCs/>
          <w:szCs w:val="24"/>
        </w:rPr>
        <w:t>F1000Research</w:t>
      </w:r>
      <w:r w:rsidRPr="006E43BF">
        <w:rPr>
          <w:rFonts w:cs="Times New Roman"/>
          <w:szCs w:val="24"/>
        </w:rPr>
        <w:t xml:space="preserve">, </w:t>
      </w:r>
      <w:r>
        <w:rPr>
          <w:rFonts w:cs="Times New Roman"/>
          <w:szCs w:val="24"/>
        </w:rPr>
        <w:t>5:</w:t>
      </w:r>
      <w:r w:rsidRPr="006E43BF">
        <w:rPr>
          <w:rFonts w:cs="Times New Roman"/>
          <w:szCs w:val="24"/>
        </w:rPr>
        <w:t xml:space="preserve">1492. </w:t>
      </w:r>
      <w:hyperlink r:id="rId5" w:history="1">
        <w:r w:rsidRPr="006E43BF">
          <w:t>https://doi.org/10.12688/f1000research.8986.2</w:t>
        </w:r>
      </w:hyperlink>
      <w:r>
        <w:t>.</w:t>
      </w:r>
    </w:p>
    <w:p w14:paraId="27BDAEEE" w14:textId="77777777" w:rsidR="00300814" w:rsidRDefault="00300814" w:rsidP="00300814">
      <w:pPr>
        <w:spacing w:line="240" w:lineRule="auto"/>
        <w:ind w:left="720" w:hanging="720"/>
        <w:rPr>
          <w:rFonts w:cs="Times New Roman"/>
          <w:szCs w:val="24"/>
        </w:rPr>
      </w:pPr>
      <w:r w:rsidRPr="00443961">
        <w:rPr>
          <w:rFonts w:cs="Times New Roman"/>
          <w:szCs w:val="24"/>
        </w:rPr>
        <w:t xml:space="preserve">Ivanova, N. V., Zemlak, T. S., Hanner, R. H., &amp; Hebert, P. D. (2007). Universal primer cocktails for fish DNA barcoding. </w:t>
      </w:r>
      <w:r w:rsidRPr="00443961">
        <w:rPr>
          <w:rFonts w:cs="Times New Roman"/>
          <w:i/>
          <w:szCs w:val="24"/>
        </w:rPr>
        <w:t>Mol Ecol Notes</w:t>
      </w:r>
      <w:r w:rsidRPr="00443961">
        <w:rPr>
          <w:rFonts w:cs="Times New Roman"/>
          <w:szCs w:val="24"/>
        </w:rPr>
        <w:t>. 7(4), 544-548.</w:t>
      </w:r>
      <w:r>
        <w:rPr>
          <w:rFonts w:cs="Times New Roman"/>
          <w:szCs w:val="24"/>
        </w:rPr>
        <w:t xml:space="preserve">    </w:t>
      </w:r>
    </w:p>
    <w:p w14:paraId="32ECB2F5" w14:textId="77777777" w:rsidR="00300814" w:rsidRDefault="00300814" w:rsidP="00300814">
      <w:pPr>
        <w:spacing w:line="240" w:lineRule="auto"/>
        <w:ind w:left="720" w:hanging="720"/>
        <w:rPr>
          <w:rFonts w:cs="Times New Roman"/>
          <w:szCs w:val="24"/>
        </w:rPr>
      </w:pPr>
      <w:r w:rsidRPr="001D2B99">
        <w:rPr>
          <w:rFonts w:cs="Times New Roman"/>
          <w:szCs w:val="24"/>
        </w:rPr>
        <w:t xml:space="preserve">McMurdie, P. J. &amp; Holmes, S. (n.d.). phyloseq: An R package for reproducible interactive analysis and graphics of microbiome census data. </w:t>
      </w:r>
      <w:hyperlink r:id="rId6" w:history="1">
        <w:r w:rsidRPr="00D0380A">
          <w:rPr>
            <w:rStyle w:val="Hyperlink"/>
            <w:rFonts w:cs="Times New Roman"/>
            <w:szCs w:val="24"/>
          </w:rPr>
          <w:t>https://doi.org/10.1371/journal.pone.0061217</w:t>
        </w:r>
      </w:hyperlink>
      <w:r>
        <w:rPr>
          <w:rFonts w:cs="Times New Roman"/>
          <w:szCs w:val="24"/>
        </w:rPr>
        <w:t>. Accessed April 23, 2023.</w:t>
      </w:r>
    </w:p>
    <w:p w14:paraId="3D9A3A52" w14:textId="77777777" w:rsidR="00300814" w:rsidRDefault="00300814" w:rsidP="00300814">
      <w:pPr>
        <w:spacing w:line="240" w:lineRule="auto"/>
        <w:ind w:left="720" w:hanging="720"/>
        <w:rPr>
          <w:rFonts w:cs="Times New Roman"/>
          <w:szCs w:val="24"/>
        </w:rPr>
      </w:pPr>
      <w:r w:rsidRPr="001D2B99">
        <w:rPr>
          <w:rFonts w:cs="Times New Roman"/>
          <w:szCs w:val="24"/>
        </w:rPr>
        <w:t xml:space="preserve">Oksanen, J., Blanchet, F. G., Friendly, M., Kindt, R., Legendre, P., McGlinn, D., Minchin, P. R., O’Hara, R. B., Simpson, G. L., Solymos, P., Henry, M., Stevens, H., Szoecs, E., &amp; Maintainer, H. W. (2019). Package “vegan” Community Ecology Package Version 2.5-6. </w:t>
      </w:r>
    </w:p>
    <w:p w14:paraId="60BC230B" w14:textId="77777777" w:rsidR="00300814" w:rsidRDefault="00300814" w:rsidP="00300814">
      <w:pPr>
        <w:ind w:left="720" w:hanging="720"/>
        <w:rPr>
          <w:rFonts w:cs="Times New Roman"/>
          <w:szCs w:val="24"/>
        </w:rPr>
      </w:pPr>
      <w:r>
        <w:rPr>
          <w:rFonts w:cs="Times New Roman"/>
          <w:szCs w:val="24"/>
        </w:rPr>
        <w:t>R Core Team. 2023</w:t>
      </w:r>
      <w:r w:rsidRPr="00771A44">
        <w:rPr>
          <w:rFonts w:cs="Times New Roman"/>
          <w:szCs w:val="24"/>
        </w:rPr>
        <w:t>. R: A language and environment for statistical computing</w:t>
      </w:r>
      <w:r>
        <w:rPr>
          <w:rFonts w:cs="Times New Roman"/>
          <w:szCs w:val="24"/>
        </w:rPr>
        <w:t>,</w:t>
      </w:r>
      <w:r w:rsidRPr="002E3BC4">
        <w:rPr>
          <w:rFonts w:cs="Times New Roman"/>
          <w:szCs w:val="24"/>
        </w:rPr>
        <w:t xml:space="preserve"> version 4.</w:t>
      </w:r>
      <w:r>
        <w:rPr>
          <w:rFonts w:cs="Times New Roman"/>
          <w:szCs w:val="24"/>
        </w:rPr>
        <w:t>4</w:t>
      </w:r>
      <w:r w:rsidRPr="002E3BC4">
        <w:rPr>
          <w:rFonts w:cs="Times New Roman"/>
          <w:szCs w:val="24"/>
        </w:rPr>
        <w:t>.</w:t>
      </w:r>
      <w:r>
        <w:rPr>
          <w:rFonts w:cs="Times New Roman"/>
          <w:szCs w:val="24"/>
        </w:rPr>
        <w:t>0</w:t>
      </w:r>
      <w:r w:rsidRPr="002E3BC4">
        <w:rPr>
          <w:rFonts w:cs="Times New Roman"/>
          <w:szCs w:val="24"/>
        </w:rPr>
        <w:t xml:space="preserve"> (202</w:t>
      </w:r>
      <w:r>
        <w:rPr>
          <w:rFonts w:cs="Times New Roman"/>
          <w:szCs w:val="24"/>
        </w:rPr>
        <w:t>4</w:t>
      </w:r>
      <w:r w:rsidRPr="002E3BC4">
        <w:rPr>
          <w:rFonts w:cs="Times New Roman"/>
          <w:szCs w:val="24"/>
        </w:rPr>
        <w:t>-0</w:t>
      </w:r>
      <w:r>
        <w:rPr>
          <w:rFonts w:cs="Times New Roman"/>
          <w:szCs w:val="24"/>
        </w:rPr>
        <w:t>4</w:t>
      </w:r>
      <w:r w:rsidRPr="002E3BC4">
        <w:rPr>
          <w:rFonts w:cs="Times New Roman"/>
          <w:szCs w:val="24"/>
        </w:rPr>
        <w:t>-</w:t>
      </w:r>
      <w:r>
        <w:rPr>
          <w:rFonts w:cs="Times New Roman"/>
          <w:szCs w:val="24"/>
        </w:rPr>
        <w:t>24</w:t>
      </w:r>
      <w:r w:rsidRPr="002E3BC4">
        <w:rPr>
          <w:rFonts w:cs="Times New Roman"/>
          <w:szCs w:val="24"/>
        </w:rPr>
        <w:t>)</w:t>
      </w:r>
      <w:r>
        <w:rPr>
          <w:rFonts w:cs="Times New Roman"/>
          <w:szCs w:val="24"/>
        </w:rPr>
        <w:t>. Vienna, Austria:</w:t>
      </w:r>
      <w:r w:rsidRPr="00771A44">
        <w:rPr>
          <w:rFonts w:cs="Times New Roman"/>
          <w:szCs w:val="24"/>
        </w:rPr>
        <w:t xml:space="preserve"> R Foundation for Statistical Computing. URL </w:t>
      </w:r>
      <w:hyperlink r:id="rId7" w:history="1">
        <w:r w:rsidRPr="00BF1444">
          <w:rPr>
            <w:rStyle w:val="Hyperlink"/>
            <w:rFonts w:cs="Times New Roman"/>
            <w:szCs w:val="24"/>
          </w:rPr>
          <w:t>https://www.R-project.org/</w:t>
        </w:r>
      </w:hyperlink>
      <w:r w:rsidRPr="00771A44">
        <w:rPr>
          <w:rFonts w:cs="Times New Roman"/>
          <w:szCs w:val="24"/>
        </w:rPr>
        <w:t>.</w:t>
      </w:r>
      <w:r>
        <w:rPr>
          <w:rFonts w:cs="Times New Roman"/>
          <w:szCs w:val="24"/>
        </w:rPr>
        <w:t xml:space="preserve"> Accessed May 1, 2024.</w:t>
      </w:r>
    </w:p>
    <w:p w14:paraId="2C99533C" w14:textId="77777777" w:rsidR="00300814" w:rsidRDefault="00300814" w:rsidP="00300814">
      <w:pPr>
        <w:spacing w:line="240" w:lineRule="auto"/>
        <w:ind w:left="720" w:hanging="720"/>
        <w:rPr>
          <w:rFonts w:cs="Times New Roman"/>
          <w:szCs w:val="24"/>
        </w:rPr>
      </w:pPr>
      <w:r>
        <w:t xml:space="preserve">Wickham, M. H. (2015). Package “ggplot2” An implementation of the Grammar of Graphics. http://CRAN. R-project. org/package= ggplot2, R package version. </w:t>
      </w:r>
      <w:r w:rsidRPr="00443961">
        <w:rPr>
          <w:rFonts w:cs="Times New Roman"/>
          <w:szCs w:val="24"/>
        </w:rPr>
        <w:t xml:space="preserve">    </w:t>
      </w:r>
    </w:p>
    <w:sectPr w:rsidR="00300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814"/>
    <w:rsid w:val="000431E2"/>
    <w:rsid w:val="00052800"/>
    <w:rsid w:val="00300814"/>
    <w:rsid w:val="0052133B"/>
    <w:rsid w:val="00E557E5"/>
    <w:rsid w:val="00F8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0642"/>
  <w15:chartTrackingRefBased/>
  <w15:docId w15:val="{1ADA238C-1857-43CB-835D-FB1D6B91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1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0814"/>
    <w:rPr>
      <w:color w:val="0563C1" w:themeColor="hyperlink"/>
      <w:u w:val="single"/>
    </w:rPr>
  </w:style>
  <w:style w:type="character" w:styleId="FollowedHyperlink">
    <w:name w:val="FollowedHyperlink"/>
    <w:basedOn w:val="DefaultParagraphFont"/>
    <w:uiPriority w:val="99"/>
    <w:semiHidden/>
    <w:unhideWhenUsed/>
    <w:rsid w:val="003008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R-project.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371/journal.pone.0061217" TargetMode="External"/><Relationship Id="rId5" Type="http://schemas.openxmlformats.org/officeDocument/2006/relationships/hyperlink" Target="https://doi.org/10.12688/f1000research.8986.2" TargetMode="External"/><Relationship Id="rId4" Type="http://schemas.openxmlformats.org/officeDocument/2006/relationships/hyperlink" Target="https://github.com/davidhaak/dividednestsM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5134</Characters>
  <Application>Microsoft Office Word</Application>
  <DocSecurity>0</DocSecurity>
  <Lines>142</Lines>
  <Paragraphs>75</Paragraphs>
  <ScaleCrop>false</ScaleCrop>
  <Company>NWFSC</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Madison.Betts</dc:creator>
  <cp:keywords/>
  <dc:description/>
  <cp:lastModifiedBy>Frimpong, Emmanuel</cp:lastModifiedBy>
  <cp:revision>3</cp:revision>
  <dcterms:created xsi:type="dcterms:W3CDTF">2024-10-23T22:39:00Z</dcterms:created>
  <dcterms:modified xsi:type="dcterms:W3CDTF">2025-12-02T20:51:00Z</dcterms:modified>
</cp:coreProperties>
</file>