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D8D5" w14:textId="77777777" w:rsidR="004B48B2" w:rsidRPr="00443961" w:rsidRDefault="004B48B2" w:rsidP="004B48B2">
      <w:pPr>
        <w:jc w:val="center"/>
        <w:rPr>
          <w:rFonts w:cs="Times New Roman"/>
          <w:i/>
          <w:iCs/>
          <w:szCs w:val="24"/>
        </w:rPr>
      </w:pPr>
      <w:r w:rsidRPr="00A805D1">
        <w:rPr>
          <w:rFonts w:cs="Times New Roman"/>
          <w:i/>
          <w:iCs/>
          <w:szCs w:val="24"/>
        </w:rPr>
        <w:t>Ecology</w:t>
      </w:r>
      <w:r>
        <w:rPr>
          <w:rFonts w:cs="Times New Roman"/>
          <w:i/>
          <w:iCs/>
          <w:szCs w:val="24"/>
        </w:rPr>
        <w:t xml:space="preserve"> of Freshwater Fish</w:t>
      </w:r>
    </w:p>
    <w:p w14:paraId="7C401D72" w14:textId="77777777" w:rsidR="004B48B2" w:rsidRPr="00BC5414" w:rsidRDefault="004B48B2" w:rsidP="004B48B2">
      <w:pPr>
        <w:jc w:val="center"/>
        <w:rPr>
          <w:rFonts w:cs="Times New Roman"/>
          <w:i/>
          <w:iCs/>
          <w:szCs w:val="24"/>
        </w:rPr>
      </w:pPr>
    </w:p>
    <w:p w14:paraId="42B695DA" w14:textId="77777777" w:rsidR="00E87A6B" w:rsidRDefault="00E87A6B" w:rsidP="00E87A6B">
      <w:pPr>
        <w:spacing w:line="240" w:lineRule="auto"/>
        <w:ind w:firstLine="720"/>
        <w:jc w:val="center"/>
        <w:rPr>
          <w:rFonts w:cs="Times New Roman"/>
          <w:szCs w:val="24"/>
        </w:rPr>
      </w:pPr>
      <w:r w:rsidRPr="00052800">
        <w:rPr>
          <w:rFonts w:cs="Times New Roman"/>
          <w:szCs w:val="24"/>
        </w:rPr>
        <w:t xml:space="preserve">Mr. Mom: </w:t>
      </w:r>
      <w:r w:rsidRPr="00052800">
        <w:rPr>
          <w:rFonts w:cs="Times New Roman"/>
          <w:i/>
          <w:szCs w:val="24"/>
        </w:rPr>
        <w:t>Nocomis</w:t>
      </w:r>
      <w:r w:rsidRPr="00052800">
        <w:rPr>
          <w:rFonts w:cs="Times New Roman"/>
          <w:szCs w:val="24"/>
        </w:rPr>
        <w:t xml:space="preserve"> embryo-burying effectively increases embryo survival amidst predation by all mutualism participants</w:t>
      </w:r>
      <w:r w:rsidRPr="00052800" w:rsidDel="00693A7A">
        <w:rPr>
          <w:rFonts w:cs="Times New Roman"/>
          <w:szCs w:val="24"/>
        </w:rPr>
        <w:t xml:space="preserve"> </w:t>
      </w:r>
    </w:p>
    <w:p w14:paraId="719F9459" w14:textId="00C94310" w:rsidR="004B48B2" w:rsidRDefault="004B48B2" w:rsidP="004B48B2">
      <w:pPr>
        <w:spacing w:line="480" w:lineRule="auto"/>
        <w:ind w:firstLine="720"/>
        <w:jc w:val="center"/>
        <w:rPr>
          <w:rFonts w:cs="Times New Roman"/>
          <w:szCs w:val="24"/>
          <w:vertAlign w:val="superscript"/>
        </w:rPr>
      </w:pPr>
      <w:r w:rsidRPr="00B155EE">
        <w:rPr>
          <w:rFonts w:cs="Times New Roman"/>
          <w:szCs w:val="24"/>
        </w:rPr>
        <w:t>Madison M. Betts</w:t>
      </w:r>
      <w:r w:rsidRPr="00B155EE">
        <w:rPr>
          <w:rFonts w:cs="Times New Roman"/>
          <w:szCs w:val="24"/>
          <w:vertAlign w:val="superscript"/>
        </w:rPr>
        <w:t>1</w:t>
      </w:r>
      <w:r w:rsidRPr="00B155EE">
        <w:rPr>
          <w:rFonts w:cs="Times New Roman"/>
          <w:szCs w:val="24"/>
        </w:rPr>
        <w:t xml:space="preserve">, </w:t>
      </w:r>
      <w:r>
        <w:rPr>
          <w:rFonts w:cs="Times New Roman"/>
          <w:szCs w:val="24"/>
        </w:rPr>
        <w:t>David C. Haak</w:t>
      </w:r>
      <w:r>
        <w:rPr>
          <w:rFonts w:cs="Times New Roman"/>
          <w:szCs w:val="24"/>
          <w:vertAlign w:val="superscript"/>
        </w:rPr>
        <w:t>2</w:t>
      </w:r>
      <w:r>
        <w:rPr>
          <w:rFonts w:cs="Times New Roman"/>
          <w:szCs w:val="24"/>
        </w:rPr>
        <w:t xml:space="preserve">, </w:t>
      </w:r>
      <w:r w:rsidRPr="00B155EE">
        <w:rPr>
          <w:rFonts w:cs="Times New Roman"/>
          <w:szCs w:val="24"/>
        </w:rPr>
        <w:t xml:space="preserve">Eric </w:t>
      </w:r>
      <w:r>
        <w:rPr>
          <w:rFonts w:cs="Times New Roman"/>
          <w:szCs w:val="24"/>
        </w:rPr>
        <w:t xml:space="preserve">M. </w:t>
      </w:r>
      <w:r w:rsidRPr="00B155EE">
        <w:rPr>
          <w:rFonts w:cs="Times New Roman"/>
          <w:szCs w:val="24"/>
        </w:rPr>
        <w:t>Hallerman</w:t>
      </w:r>
      <w:r w:rsidRPr="00B155EE">
        <w:rPr>
          <w:rFonts w:cs="Times New Roman"/>
          <w:szCs w:val="24"/>
          <w:vertAlign w:val="superscript"/>
        </w:rPr>
        <w:t>1</w:t>
      </w:r>
      <w:r>
        <w:rPr>
          <w:rFonts w:cs="Times New Roman"/>
          <w:szCs w:val="24"/>
        </w:rPr>
        <w:t>, E</w:t>
      </w:r>
      <w:r w:rsidRPr="00B155EE">
        <w:rPr>
          <w:rFonts w:cs="Times New Roman"/>
          <w:szCs w:val="24"/>
        </w:rPr>
        <w:t>ugene G. Maurakis</w:t>
      </w:r>
      <w:r>
        <w:rPr>
          <w:rFonts w:cs="Times New Roman"/>
          <w:szCs w:val="24"/>
          <w:vertAlign w:val="superscript"/>
        </w:rPr>
        <w:t>3</w:t>
      </w:r>
      <w:r>
        <w:rPr>
          <w:rFonts w:cs="Times New Roman"/>
          <w:szCs w:val="24"/>
        </w:rPr>
        <w:t xml:space="preserve">, </w:t>
      </w:r>
      <w:r w:rsidRPr="00B155EE">
        <w:rPr>
          <w:rFonts w:cs="Times New Roman"/>
          <w:szCs w:val="24"/>
        </w:rPr>
        <w:t>Emmanuel A. Frimpong</w:t>
      </w:r>
      <w:r w:rsidRPr="00B155EE">
        <w:rPr>
          <w:rFonts w:cs="Times New Roman"/>
          <w:szCs w:val="24"/>
          <w:vertAlign w:val="superscript"/>
        </w:rPr>
        <w:t>1</w:t>
      </w:r>
      <w:r w:rsidR="002C64D3">
        <w:rPr>
          <w:rFonts w:cs="Times New Roman"/>
          <w:szCs w:val="24"/>
          <w:vertAlign w:val="superscript"/>
        </w:rPr>
        <w:t>*</w:t>
      </w:r>
    </w:p>
    <w:p w14:paraId="120B1777" w14:textId="77777777" w:rsidR="004B48B2" w:rsidRPr="00443961" w:rsidRDefault="00BE1B75" w:rsidP="004B48B2">
      <w:pPr>
        <w:spacing w:line="480" w:lineRule="auto"/>
        <w:jc w:val="center"/>
        <w:rPr>
          <w:rFonts w:cs="Times New Roman"/>
          <w:szCs w:val="24"/>
        </w:rPr>
      </w:pPr>
      <w:r>
        <w:rPr>
          <w:rFonts w:cs="Times New Roman"/>
          <w:szCs w:val="24"/>
        </w:rPr>
        <w:t>APPENDIX S3</w:t>
      </w:r>
    </w:p>
    <w:p w14:paraId="4E8FF0E5" w14:textId="77777777" w:rsidR="004B48B2" w:rsidRDefault="004B48B2" w:rsidP="004B48B2">
      <w:pPr>
        <w:spacing w:line="240" w:lineRule="auto"/>
        <w:ind w:left="720" w:hanging="720"/>
        <w:jc w:val="center"/>
      </w:pPr>
      <w:r w:rsidRPr="00443961">
        <w:rPr>
          <w:rFonts w:cs="Times New Roman"/>
          <w:szCs w:val="24"/>
        </w:rPr>
        <w:t xml:space="preserve">    </w:t>
      </w:r>
      <w:r w:rsidRPr="00443961">
        <w:t xml:space="preserve">                                                                      </w:t>
      </w:r>
      <w:r>
        <w:rPr>
          <w:noProof/>
        </w:rPr>
        <w:drawing>
          <wp:inline distT="0" distB="0" distL="0" distR="0" wp14:anchorId="47940746" wp14:editId="14E7D66F">
            <wp:extent cx="543560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supplement4.JPG"/>
                    <pic:cNvPicPr/>
                  </pic:nvPicPr>
                  <pic:blipFill>
                    <a:blip r:embed="rId4">
                      <a:extLst>
                        <a:ext uri="{28A0092B-C50C-407E-A947-70E740481C1C}">
                          <a14:useLocalDpi xmlns:a14="http://schemas.microsoft.com/office/drawing/2010/main" val="0"/>
                        </a:ext>
                      </a:extLst>
                    </a:blip>
                    <a:stretch>
                      <a:fillRect/>
                    </a:stretch>
                  </pic:blipFill>
                  <pic:spPr>
                    <a:xfrm>
                      <a:off x="0" y="0"/>
                      <a:ext cx="5435600" cy="3371850"/>
                    </a:xfrm>
                    <a:prstGeom prst="rect">
                      <a:avLst/>
                    </a:prstGeom>
                  </pic:spPr>
                </pic:pic>
              </a:graphicData>
            </a:graphic>
          </wp:inline>
        </w:drawing>
      </w:r>
    </w:p>
    <w:p w14:paraId="031951AB" w14:textId="77777777" w:rsidR="004B48B2" w:rsidRPr="00837275" w:rsidRDefault="004B48B2" w:rsidP="004B48B2">
      <w:pPr>
        <w:spacing w:line="240" w:lineRule="auto"/>
        <w:rPr>
          <w:rFonts w:cs="Times New Roman"/>
          <w:color w:val="0563C1" w:themeColor="hyperlink"/>
          <w:szCs w:val="24"/>
          <w:u w:val="single"/>
        </w:rPr>
      </w:pPr>
      <w:r w:rsidRPr="00EE13CD">
        <w:rPr>
          <w:i/>
        </w:rPr>
        <w:t xml:space="preserve">Figure </w:t>
      </w:r>
      <w:r>
        <w:rPr>
          <w:i/>
        </w:rPr>
        <w:t>S1</w:t>
      </w:r>
      <w:r>
        <w:t xml:space="preserve">. Relative abundance of other-DNA to self-DNA found within the guts of female (F) and male (M) bluehead chub (BHC), mountain redbelly dace (MRBD), and stoneroller (SR) from gut samples collected from Toms Creek near Blacksburg, VA, in summer 2022. Genera should be interpreted as: </w:t>
      </w:r>
      <w:r>
        <w:rPr>
          <w:i/>
        </w:rPr>
        <w:t xml:space="preserve">Nocomis </w:t>
      </w:r>
      <w:r>
        <w:t>– bluehead chub (</w:t>
      </w:r>
      <w:r>
        <w:rPr>
          <w:i/>
        </w:rPr>
        <w:t xml:space="preserve">Nocomis </w:t>
      </w:r>
      <w:r w:rsidRPr="00EE13CD">
        <w:rPr>
          <w:i/>
        </w:rPr>
        <w:t>leptocephalus</w:t>
      </w:r>
      <w:r>
        <w:t xml:space="preserve">), </w:t>
      </w:r>
      <w:r w:rsidRPr="00EE13CD">
        <w:rPr>
          <w:i/>
        </w:rPr>
        <w:t>Campostoma</w:t>
      </w:r>
      <w:r>
        <w:t xml:space="preserve"> – central stoneroller (</w:t>
      </w:r>
      <w:r w:rsidRPr="00EE13CD">
        <w:rPr>
          <w:i/>
        </w:rPr>
        <w:t>Campostoma anomalum</w:t>
      </w:r>
      <w:r>
        <w:t xml:space="preserve">) embryo, </w:t>
      </w:r>
      <w:r w:rsidRPr="00EE13CD">
        <w:rPr>
          <w:i/>
        </w:rPr>
        <w:t>Chrosomus</w:t>
      </w:r>
      <w:r>
        <w:t xml:space="preserve"> – mountain redbelly dace (</w:t>
      </w:r>
      <w:r w:rsidRPr="00EE13CD">
        <w:rPr>
          <w:i/>
        </w:rPr>
        <w:t>Chrosomus oreas</w:t>
      </w:r>
      <w:r>
        <w:t xml:space="preserve">) embryo, and </w:t>
      </w:r>
      <w:r w:rsidRPr="00EE13CD">
        <w:rPr>
          <w:i/>
        </w:rPr>
        <w:t>Clinostomus</w:t>
      </w:r>
      <w:r>
        <w:t xml:space="preserve"> – rosyside dace (</w:t>
      </w:r>
      <w:r w:rsidRPr="00EE13CD">
        <w:rPr>
          <w:i/>
        </w:rPr>
        <w:t>Clinostomus funduloides</w:t>
      </w:r>
      <w:r>
        <w:t xml:space="preserve">) embryo. </w:t>
      </w:r>
      <w:r w:rsidRPr="00EE13CD">
        <w:rPr>
          <w:i/>
        </w:rPr>
        <w:t>Luxilus</w:t>
      </w:r>
      <w:r>
        <w:t xml:space="preserve"> may include crescent shiner (</w:t>
      </w:r>
      <w:r w:rsidRPr="00EE13CD">
        <w:rPr>
          <w:i/>
        </w:rPr>
        <w:t>Luxilus cerasinus</w:t>
      </w:r>
      <w:r>
        <w:t>) and/or white shiner (</w:t>
      </w:r>
      <w:r w:rsidRPr="00EE13CD">
        <w:rPr>
          <w:i/>
        </w:rPr>
        <w:t>Luxilus albeolus</w:t>
      </w:r>
      <w:r>
        <w:t>) as both are present in this system and frequently spawn with chubs.</w:t>
      </w:r>
    </w:p>
    <w:p w14:paraId="7D5EC3BE" w14:textId="77777777" w:rsidR="004B48B2" w:rsidRDefault="004B48B2" w:rsidP="004B48B2">
      <w:pPr>
        <w:spacing w:line="240" w:lineRule="auto"/>
        <w:ind w:left="720" w:hanging="720"/>
      </w:pPr>
    </w:p>
    <w:p w14:paraId="378839D3" w14:textId="77777777" w:rsidR="004B48B2" w:rsidRDefault="004B48B2" w:rsidP="004B48B2">
      <w:pPr>
        <w:spacing w:line="240" w:lineRule="auto"/>
        <w:ind w:left="720" w:hanging="720"/>
      </w:pPr>
    </w:p>
    <w:p w14:paraId="001F307E" w14:textId="77777777" w:rsidR="00000000" w:rsidRDefault="00000000"/>
    <w:sectPr w:rsidR="00834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8B2"/>
    <w:rsid w:val="000431E2"/>
    <w:rsid w:val="002C64D3"/>
    <w:rsid w:val="004B48B2"/>
    <w:rsid w:val="0052133B"/>
    <w:rsid w:val="00BE1B75"/>
    <w:rsid w:val="00E87A6B"/>
    <w:rsid w:val="00F8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06A9"/>
  <w15:chartTrackingRefBased/>
  <w15:docId w15:val="{058C15BF-418F-4764-9BCF-73C366F8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8B2"/>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48B2"/>
    <w:rPr>
      <w:color w:val="0563C1" w:themeColor="hyperlink"/>
      <w:u w:val="single"/>
    </w:rPr>
  </w:style>
  <w:style w:type="character" w:styleId="FollowedHyperlink">
    <w:name w:val="FollowedHyperlink"/>
    <w:basedOn w:val="DefaultParagraphFont"/>
    <w:uiPriority w:val="99"/>
    <w:semiHidden/>
    <w:unhideWhenUsed/>
    <w:rsid w:val="004B48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
    </vt:vector>
  </TitlesOfParts>
  <Company>NWFSC</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Madison.Betts</dc:creator>
  <cp:keywords/>
  <dc:description/>
  <cp:lastModifiedBy>Frimpong, Emmanuel</cp:lastModifiedBy>
  <cp:revision>4</cp:revision>
  <dcterms:created xsi:type="dcterms:W3CDTF">2024-10-23T22:33:00Z</dcterms:created>
  <dcterms:modified xsi:type="dcterms:W3CDTF">2025-12-02T20:52:00Z</dcterms:modified>
</cp:coreProperties>
</file>