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7BD" w:rsidRDefault="00C107BD" w:rsidP="00C107BD">
      <w:pPr>
        <w:pStyle w:val="Heading1"/>
        <w:rPr>
          <w:sz w:val="28"/>
        </w:rPr>
      </w:pPr>
      <w:bookmarkStart w:id="0" w:name="_Toc518989535"/>
      <w:bookmarkStart w:id="1" w:name="_Toc19533517"/>
      <w:r w:rsidRPr="00F10503">
        <w:rPr>
          <w:sz w:val="28"/>
        </w:rPr>
        <w:t>Non Functional Requirements</w:t>
      </w:r>
      <w:bookmarkEnd w:id="0"/>
      <w:bookmarkEnd w:id="1"/>
    </w:p>
    <w:p w:rsidR="00C107BD" w:rsidRPr="00F10503" w:rsidRDefault="00C107BD" w:rsidP="00C107BD">
      <w:pPr>
        <w:pStyle w:val="Heading2"/>
        <w:rPr>
          <w:sz w:val="24"/>
        </w:rPr>
      </w:pPr>
      <w:bookmarkStart w:id="2" w:name="_Toc19533518"/>
      <w:r w:rsidRPr="00F10503">
        <w:rPr>
          <w:sz w:val="24"/>
        </w:rPr>
        <w:t>Exceptions Handling</w:t>
      </w:r>
      <w:bookmarkEnd w:id="2"/>
    </w:p>
    <w:p w:rsidR="00C107BD" w:rsidRDefault="00C107BD" w:rsidP="00C107BD">
      <w:pPr>
        <w:jc w:val="both"/>
        <w:rPr>
          <w:rFonts w:ascii="Calibri" w:hAnsi="Calibri" w:cs="Arial"/>
        </w:rPr>
      </w:pP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75"/>
        <w:gridCol w:w="9000"/>
      </w:tblGrid>
      <w:tr w:rsidR="00C107BD" w:rsidRPr="00FC5336" w:rsidTr="005B3233">
        <w:trPr>
          <w:trHeight w:val="264"/>
          <w:jc w:val="center"/>
        </w:trPr>
        <w:tc>
          <w:tcPr>
            <w:tcW w:w="1075" w:type="dxa"/>
            <w:shd w:val="clear" w:color="auto" w:fill="A6A6A6"/>
          </w:tcPr>
          <w:p w:rsidR="00C107BD" w:rsidRPr="00C40CAB" w:rsidRDefault="00C107BD" w:rsidP="005B3233">
            <w:pPr>
              <w:jc w:val="both"/>
              <w:rPr>
                <w:szCs w:val="22"/>
              </w:rPr>
            </w:pPr>
            <w:r w:rsidRPr="00C40CAB">
              <w:rPr>
                <w:szCs w:val="22"/>
              </w:rPr>
              <w:t>No.</w:t>
            </w:r>
          </w:p>
        </w:tc>
        <w:tc>
          <w:tcPr>
            <w:tcW w:w="9000" w:type="dxa"/>
            <w:shd w:val="clear" w:color="auto" w:fill="A6A6A6"/>
          </w:tcPr>
          <w:p w:rsidR="00C107BD" w:rsidRPr="00C40CAB" w:rsidRDefault="00C107BD" w:rsidP="005B3233">
            <w:pPr>
              <w:jc w:val="both"/>
              <w:rPr>
                <w:szCs w:val="22"/>
              </w:rPr>
            </w:pPr>
            <w:r w:rsidRPr="00C40CAB">
              <w:rPr>
                <w:szCs w:val="22"/>
              </w:rPr>
              <w:t>Functional Requirement Description</w:t>
            </w:r>
          </w:p>
        </w:tc>
      </w:tr>
      <w:tr w:rsidR="00C107BD" w:rsidRPr="00FC5336" w:rsidTr="005B3233">
        <w:trPr>
          <w:trHeight w:val="279"/>
          <w:jc w:val="center"/>
        </w:trPr>
        <w:tc>
          <w:tcPr>
            <w:tcW w:w="1075" w:type="dxa"/>
          </w:tcPr>
          <w:p w:rsidR="00C107BD" w:rsidRPr="00C40CAB" w:rsidRDefault="00C107BD" w:rsidP="005B3233">
            <w:pPr>
              <w:jc w:val="both"/>
              <w:rPr>
                <w:szCs w:val="22"/>
              </w:rPr>
            </w:pPr>
            <w:r w:rsidRPr="00C40CAB">
              <w:rPr>
                <w:szCs w:val="22"/>
              </w:rPr>
              <w:t>NFR 10</w:t>
            </w:r>
          </w:p>
        </w:tc>
        <w:tc>
          <w:tcPr>
            <w:tcW w:w="9000" w:type="dxa"/>
          </w:tcPr>
          <w:p w:rsidR="00C107BD" w:rsidRPr="00C40CAB" w:rsidRDefault="00C107BD" w:rsidP="005B3233">
            <w:pPr>
              <w:jc w:val="both"/>
              <w:rPr>
                <w:szCs w:val="22"/>
              </w:rPr>
            </w:pPr>
            <w:r w:rsidRPr="00C40CAB">
              <w:rPr>
                <w:szCs w:val="22"/>
              </w:rPr>
              <w:t>Automation tool is not able to launch the applications.</w:t>
            </w:r>
          </w:p>
          <w:p w:rsidR="00C107BD" w:rsidRPr="00C40CAB" w:rsidRDefault="00C107BD" w:rsidP="005B3233">
            <w:pPr>
              <w:jc w:val="both"/>
              <w:rPr>
                <w:szCs w:val="22"/>
              </w:rPr>
            </w:pPr>
            <w:r w:rsidRPr="00C40CAB">
              <w:rPr>
                <w:b/>
                <w:szCs w:val="22"/>
              </w:rPr>
              <w:t>Why the failure:</w:t>
            </w:r>
            <w:r w:rsidRPr="00C40CAB">
              <w:rPr>
                <w:szCs w:val="22"/>
              </w:rPr>
              <w:t xml:space="preserve"> For web applications this failure maybe a result of coding wrong application URL or the application is down or sometimes applications can be only opened in “In Private” browsing. </w:t>
            </w:r>
          </w:p>
          <w:p w:rsidR="00C107BD" w:rsidRPr="00C40CAB" w:rsidRDefault="00C107BD" w:rsidP="005B3233">
            <w:pPr>
              <w:jc w:val="both"/>
              <w:rPr>
                <w:szCs w:val="22"/>
              </w:rPr>
            </w:pPr>
            <w:r w:rsidRPr="00C40CAB">
              <w:rPr>
                <w:b/>
                <w:szCs w:val="22"/>
              </w:rPr>
              <w:t>How to handle:</w:t>
            </w:r>
            <w:r w:rsidRPr="00C40CAB">
              <w:rPr>
                <w:szCs w:val="22"/>
              </w:rPr>
              <w:t xml:space="preserve"> After trying all mitigating steps if the tool is still not able to launch the application then a pre-defined error message can be displayed or an email can be sent to the Ops/Client SPOC. This mail should have the basic details like the name of the application that is not being launched, name of the process and the time at which the launch failed.</w:t>
            </w:r>
          </w:p>
        </w:tc>
      </w:tr>
      <w:tr w:rsidR="00C107BD" w:rsidRPr="00FC5336" w:rsidTr="005B3233">
        <w:trPr>
          <w:trHeight w:val="264"/>
          <w:jc w:val="center"/>
        </w:trPr>
        <w:tc>
          <w:tcPr>
            <w:tcW w:w="1075" w:type="dxa"/>
          </w:tcPr>
          <w:p w:rsidR="00C107BD" w:rsidRPr="00C40CAB" w:rsidRDefault="00C107BD" w:rsidP="005B3233">
            <w:pPr>
              <w:jc w:val="both"/>
              <w:rPr>
                <w:szCs w:val="22"/>
              </w:rPr>
            </w:pPr>
            <w:r w:rsidRPr="00C40CAB">
              <w:rPr>
                <w:szCs w:val="22"/>
              </w:rPr>
              <w:t>NFR 20</w:t>
            </w:r>
          </w:p>
        </w:tc>
        <w:tc>
          <w:tcPr>
            <w:tcW w:w="9000" w:type="dxa"/>
          </w:tcPr>
          <w:p w:rsidR="00C107BD" w:rsidRPr="00C40CAB" w:rsidRDefault="00C107BD" w:rsidP="005B3233">
            <w:pPr>
              <w:jc w:val="both"/>
              <w:rPr>
                <w:szCs w:val="22"/>
              </w:rPr>
            </w:pPr>
            <w:r w:rsidRPr="00C40CAB">
              <w:rPr>
                <w:szCs w:val="22"/>
              </w:rPr>
              <w:t>Automation tool is able to launch the application but authorization failed.</w:t>
            </w:r>
          </w:p>
          <w:p w:rsidR="00C107BD" w:rsidRPr="00C40CAB" w:rsidRDefault="00C107BD" w:rsidP="005B3233">
            <w:pPr>
              <w:jc w:val="both"/>
              <w:rPr>
                <w:szCs w:val="22"/>
              </w:rPr>
            </w:pPr>
            <w:r w:rsidRPr="00C40CAB">
              <w:rPr>
                <w:b/>
                <w:szCs w:val="22"/>
              </w:rPr>
              <w:t>Why the failure:</w:t>
            </w:r>
            <w:r w:rsidRPr="00C40CAB">
              <w:rPr>
                <w:szCs w:val="22"/>
              </w:rPr>
              <w:t xml:space="preserve"> This failure maybe a result of password expiry or Sometimes client doesn’t provide service accounts then the agent whose credentials were used may have left the organization. </w:t>
            </w:r>
          </w:p>
          <w:p w:rsidR="00C107BD" w:rsidRPr="00C40CAB" w:rsidRDefault="00C107BD" w:rsidP="005B3233">
            <w:pPr>
              <w:jc w:val="both"/>
              <w:rPr>
                <w:szCs w:val="22"/>
              </w:rPr>
            </w:pPr>
            <w:r w:rsidRPr="00C40CAB">
              <w:rPr>
                <w:b/>
                <w:szCs w:val="22"/>
              </w:rPr>
              <w:t>How to handle:</w:t>
            </w:r>
            <w:r w:rsidRPr="00C40CAB">
              <w:rPr>
                <w:szCs w:val="22"/>
              </w:rPr>
              <w:t xml:space="preserve"> A pre-defined error message can be displayed or an email can be sent to the Ops/Client SPOC with this issue. This mail should have the basic details like the name of the application that is not being authorized, name of the process and the time at which the authorization failed.</w:t>
            </w:r>
          </w:p>
        </w:tc>
      </w:tr>
      <w:tr w:rsidR="00C107BD" w:rsidRPr="00FC5336" w:rsidTr="005B3233">
        <w:trPr>
          <w:trHeight w:val="264"/>
          <w:jc w:val="center"/>
        </w:trPr>
        <w:tc>
          <w:tcPr>
            <w:tcW w:w="1075" w:type="dxa"/>
          </w:tcPr>
          <w:p w:rsidR="00C107BD" w:rsidRPr="00C40CAB" w:rsidRDefault="00C107BD" w:rsidP="005B3233">
            <w:pPr>
              <w:jc w:val="both"/>
              <w:rPr>
                <w:szCs w:val="22"/>
              </w:rPr>
            </w:pPr>
            <w:r w:rsidRPr="00C40CAB">
              <w:rPr>
                <w:szCs w:val="22"/>
              </w:rPr>
              <w:t>NFR 30</w:t>
            </w:r>
          </w:p>
        </w:tc>
        <w:tc>
          <w:tcPr>
            <w:tcW w:w="9000" w:type="dxa"/>
          </w:tcPr>
          <w:p w:rsidR="00C107BD" w:rsidRPr="00C40CAB" w:rsidRDefault="00C107BD" w:rsidP="005B3233">
            <w:pPr>
              <w:jc w:val="both"/>
              <w:rPr>
                <w:szCs w:val="22"/>
              </w:rPr>
            </w:pPr>
            <w:r w:rsidRPr="00C40CAB">
              <w:rPr>
                <w:szCs w:val="22"/>
              </w:rPr>
              <w:t>Automation tool is able to login to the application but not able to extract / enter a particular field.</w:t>
            </w:r>
          </w:p>
          <w:p w:rsidR="00C107BD" w:rsidRPr="00C40CAB" w:rsidRDefault="00C107BD" w:rsidP="005B3233">
            <w:pPr>
              <w:jc w:val="both"/>
              <w:rPr>
                <w:szCs w:val="22"/>
              </w:rPr>
            </w:pPr>
            <w:r w:rsidRPr="00C40CAB">
              <w:rPr>
                <w:b/>
                <w:szCs w:val="22"/>
              </w:rPr>
              <w:t>Why the failure:</w:t>
            </w:r>
            <w:r w:rsidRPr="00C40CAB">
              <w:rPr>
                <w:szCs w:val="22"/>
              </w:rPr>
              <w:t xml:space="preserve"> When underlying applications are not stable and clients keep on tinkering with the applications the control id identification fails. All changes to the application UI should be informed to the automation team by the Client IT team. </w:t>
            </w:r>
          </w:p>
          <w:p w:rsidR="00C107BD" w:rsidRPr="00C40CAB" w:rsidRDefault="00C107BD" w:rsidP="005B3233">
            <w:pPr>
              <w:jc w:val="both"/>
              <w:rPr>
                <w:szCs w:val="22"/>
              </w:rPr>
            </w:pPr>
            <w:r w:rsidRPr="00C40CAB">
              <w:rPr>
                <w:b/>
                <w:szCs w:val="22"/>
              </w:rPr>
              <w:t>How to handle:</w:t>
            </w:r>
            <w:r w:rsidRPr="00C40CAB">
              <w:rPr>
                <w:szCs w:val="22"/>
              </w:rPr>
              <w:t xml:space="preserve"> A pre-defined error message can be displayed or an email can be sent to the Client IT team along with the Ops/Client SPOC with this issue. This mail should have the basic details like the name of the field including the application name and name of the process. A screenshot as an attachment will also be helpful.</w:t>
            </w:r>
          </w:p>
        </w:tc>
      </w:tr>
      <w:tr w:rsidR="00C107BD" w:rsidRPr="00FC5336" w:rsidTr="005B3233">
        <w:trPr>
          <w:trHeight w:val="264"/>
          <w:jc w:val="center"/>
        </w:trPr>
        <w:tc>
          <w:tcPr>
            <w:tcW w:w="1075" w:type="dxa"/>
          </w:tcPr>
          <w:p w:rsidR="00C107BD" w:rsidRPr="00C40CAB" w:rsidRDefault="00C107BD" w:rsidP="005B3233">
            <w:pPr>
              <w:jc w:val="both"/>
              <w:rPr>
                <w:szCs w:val="22"/>
              </w:rPr>
            </w:pPr>
            <w:r w:rsidRPr="00C40CAB">
              <w:rPr>
                <w:szCs w:val="22"/>
              </w:rPr>
              <w:t>NFR 40</w:t>
            </w:r>
          </w:p>
        </w:tc>
        <w:tc>
          <w:tcPr>
            <w:tcW w:w="9000" w:type="dxa"/>
          </w:tcPr>
          <w:p w:rsidR="00C107BD" w:rsidRPr="00C40CAB" w:rsidRDefault="00C107BD" w:rsidP="005B3233">
            <w:pPr>
              <w:jc w:val="both"/>
              <w:rPr>
                <w:szCs w:val="22"/>
              </w:rPr>
            </w:pPr>
            <w:r w:rsidRPr="00C40CAB">
              <w:rPr>
                <w:szCs w:val="22"/>
              </w:rPr>
              <w:t>Automation tool is able to navigate through the application but after few navigations it is not able to find the next screen.</w:t>
            </w:r>
          </w:p>
          <w:p w:rsidR="00C107BD" w:rsidRPr="00C40CAB" w:rsidRDefault="00C107BD" w:rsidP="005B3233">
            <w:pPr>
              <w:jc w:val="both"/>
              <w:rPr>
                <w:szCs w:val="22"/>
              </w:rPr>
            </w:pPr>
            <w:r w:rsidRPr="00C40CAB">
              <w:rPr>
                <w:b/>
                <w:szCs w:val="22"/>
              </w:rPr>
              <w:t>Why the failure:</w:t>
            </w:r>
            <w:r w:rsidRPr="00C40CAB">
              <w:rPr>
                <w:szCs w:val="22"/>
              </w:rPr>
              <w:t xml:space="preserve"> Unexpected pop-ups come when wrong input data is pasted in the fields. Sometimes client IT team simple changes the application and doesn’t keep automation team in the loop.</w:t>
            </w:r>
          </w:p>
          <w:p w:rsidR="00C107BD" w:rsidRPr="00C40CAB" w:rsidRDefault="00C107BD" w:rsidP="005B3233">
            <w:pPr>
              <w:jc w:val="both"/>
              <w:rPr>
                <w:szCs w:val="22"/>
              </w:rPr>
            </w:pPr>
            <w:r w:rsidRPr="00C40CAB">
              <w:rPr>
                <w:b/>
                <w:szCs w:val="22"/>
              </w:rPr>
              <w:t>How to handle:</w:t>
            </w:r>
            <w:r w:rsidRPr="00C40CAB">
              <w:rPr>
                <w:szCs w:val="22"/>
              </w:rPr>
              <w:t xml:space="preserve"> It is a bit tricky to handle such a scenario if it because of unexpected pop-ups. During testing itself we can check how the underlying application is handling invalid data and design the solution accordingly. But if it because a change in application UI we can handle it similar to the above scenario.</w:t>
            </w:r>
          </w:p>
        </w:tc>
      </w:tr>
      <w:tr w:rsidR="00C107BD" w:rsidRPr="00FC5336" w:rsidTr="005B3233">
        <w:trPr>
          <w:trHeight w:val="264"/>
          <w:jc w:val="center"/>
        </w:trPr>
        <w:tc>
          <w:tcPr>
            <w:tcW w:w="1075" w:type="dxa"/>
          </w:tcPr>
          <w:p w:rsidR="00C107BD" w:rsidRPr="00C40CAB" w:rsidRDefault="00C107BD" w:rsidP="005B3233">
            <w:pPr>
              <w:jc w:val="both"/>
              <w:rPr>
                <w:szCs w:val="22"/>
              </w:rPr>
            </w:pPr>
            <w:r w:rsidRPr="00C40CAB">
              <w:rPr>
                <w:szCs w:val="22"/>
              </w:rPr>
              <w:t>NFR 50</w:t>
            </w:r>
          </w:p>
        </w:tc>
        <w:tc>
          <w:tcPr>
            <w:tcW w:w="9000" w:type="dxa"/>
          </w:tcPr>
          <w:p w:rsidR="00C107BD" w:rsidRPr="00C40CAB" w:rsidRDefault="00C107BD" w:rsidP="005B3233">
            <w:pPr>
              <w:jc w:val="both"/>
              <w:rPr>
                <w:szCs w:val="22"/>
              </w:rPr>
            </w:pPr>
            <w:r w:rsidRPr="00C40CAB">
              <w:rPr>
                <w:szCs w:val="22"/>
              </w:rPr>
              <w:t>Automation is successfully running but suddenly application is not working.</w:t>
            </w:r>
          </w:p>
          <w:p w:rsidR="00C107BD" w:rsidRPr="00C40CAB" w:rsidRDefault="00C107BD" w:rsidP="005B3233">
            <w:pPr>
              <w:jc w:val="both"/>
              <w:rPr>
                <w:szCs w:val="22"/>
              </w:rPr>
            </w:pPr>
            <w:r w:rsidRPr="00C40CAB">
              <w:rPr>
                <w:b/>
                <w:szCs w:val="22"/>
              </w:rPr>
              <w:t>Why the failure:</w:t>
            </w:r>
            <w:r w:rsidRPr="00C40CAB">
              <w:rPr>
                <w:szCs w:val="22"/>
              </w:rPr>
              <w:t xml:space="preserve"> If network is down then the applications may stop suddenly. We can try relaunching the application say for 3 to 5 times before confirming the failure.</w:t>
            </w:r>
          </w:p>
          <w:p w:rsidR="00C107BD" w:rsidRPr="00C40CAB" w:rsidRDefault="00C107BD" w:rsidP="005B3233">
            <w:pPr>
              <w:jc w:val="both"/>
              <w:rPr>
                <w:szCs w:val="22"/>
              </w:rPr>
            </w:pPr>
            <w:r w:rsidRPr="00C40CAB">
              <w:rPr>
                <w:b/>
                <w:szCs w:val="22"/>
              </w:rPr>
              <w:t>How to handle:</w:t>
            </w:r>
            <w:r w:rsidRPr="00C40CAB">
              <w:rPr>
                <w:szCs w:val="22"/>
              </w:rPr>
              <w:t xml:space="preserve"> similar to scenario NFR 10</w:t>
            </w:r>
          </w:p>
        </w:tc>
      </w:tr>
    </w:tbl>
    <w:p w:rsidR="00C107BD" w:rsidRDefault="00C107BD" w:rsidP="00C107BD">
      <w:bookmarkStart w:id="3" w:name="_Toc305224988"/>
      <w:bookmarkStart w:id="4" w:name="_Toc310506922"/>
      <w:bookmarkStart w:id="5" w:name="_Toc310590155"/>
      <w:bookmarkStart w:id="6" w:name="_Toc310590408"/>
      <w:bookmarkStart w:id="7" w:name="_Toc310590465"/>
      <w:bookmarkStart w:id="8" w:name="_Toc310590523"/>
      <w:bookmarkStart w:id="9" w:name="_Toc310590581"/>
      <w:bookmarkStart w:id="10" w:name="_Toc310688318"/>
      <w:bookmarkStart w:id="11" w:name="_Toc310688649"/>
      <w:bookmarkStart w:id="12" w:name="_Toc303766413"/>
      <w:bookmarkEnd w:id="3"/>
      <w:bookmarkEnd w:id="4"/>
      <w:bookmarkEnd w:id="5"/>
      <w:bookmarkEnd w:id="6"/>
      <w:bookmarkEnd w:id="7"/>
      <w:bookmarkEnd w:id="8"/>
      <w:bookmarkEnd w:id="9"/>
      <w:bookmarkEnd w:id="10"/>
      <w:bookmarkEnd w:id="11"/>
    </w:p>
    <w:p w:rsidR="00C107BD" w:rsidRDefault="00C107BD" w:rsidP="00C107BD">
      <w:pPr>
        <w:pStyle w:val="Heading1"/>
        <w:rPr>
          <w:sz w:val="28"/>
        </w:rPr>
      </w:pPr>
      <w:bookmarkStart w:id="13" w:name="_Toc19533519"/>
      <w:r w:rsidRPr="00C40CAB">
        <w:rPr>
          <w:sz w:val="28"/>
        </w:rPr>
        <w:lastRenderedPageBreak/>
        <w:t>Operating Environment Requirements</w:t>
      </w:r>
      <w:bookmarkEnd w:id="13"/>
    </w:p>
    <w:p w:rsidR="00C107BD" w:rsidRDefault="00C107BD" w:rsidP="00C107BD">
      <w:pPr>
        <w:pStyle w:val="Heading2"/>
        <w:rPr>
          <w:sz w:val="24"/>
        </w:rPr>
      </w:pPr>
      <w:bookmarkStart w:id="14" w:name="_Toc19533520"/>
      <w:r w:rsidRPr="00B4219C">
        <w:rPr>
          <w:sz w:val="24"/>
        </w:rPr>
        <w:t>Network and Solution Architecture</w:t>
      </w:r>
      <w:bookmarkEnd w:id="14"/>
    </w:p>
    <w:p w:rsidR="00C107BD" w:rsidRDefault="00C107BD" w:rsidP="00C107BD"/>
    <w:p w:rsidR="00C107BD" w:rsidRDefault="00C107BD" w:rsidP="00C107BD"/>
    <w:p w:rsidR="00C107BD" w:rsidRPr="00B4219C" w:rsidRDefault="00C107BD" w:rsidP="00C107BD"/>
    <w:p w:rsidR="00C107BD" w:rsidRDefault="00C107BD" w:rsidP="00C107BD">
      <w:pPr>
        <w:pStyle w:val="Heading2"/>
        <w:rPr>
          <w:sz w:val="24"/>
        </w:rPr>
      </w:pPr>
      <w:bookmarkStart w:id="15" w:name="_Toc19533521"/>
      <w:r w:rsidRPr="00996D31">
        <w:rPr>
          <w:sz w:val="24"/>
        </w:rPr>
        <w:t>Application Access Mechanism</w:t>
      </w:r>
      <w:bookmarkEnd w:id="15"/>
    </w:p>
    <w:p w:rsidR="00C107BD" w:rsidRDefault="00C107BD" w:rsidP="00C107BD"/>
    <w:p w:rsidR="00C107BD" w:rsidRDefault="00C107BD" w:rsidP="00C107BD">
      <w:pPr>
        <w:rPr>
          <w:bCs/>
        </w:rPr>
      </w:pPr>
      <w:r w:rsidRPr="0031214C">
        <w:rPr>
          <w:bCs/>
        </w:rPr>
        <w:t>Infosys automation team</w:t>
      </w:r>
      <w:r w:rsidRPr="00C40CAB">
        <w:rPr>
          <w:b/>
          <w:bCs/>
        </w:rPr>
        <w:t xml:space="preserve"> </w:t>
      </w:r>
      <w:r>
        <w:rPr>
          <w:bCs/>
        </w:rPr>
        <w:t>will use Century Link</w:t>
      </w:r>
      <w:r w:rsidRPr="00C40CAB">
        <w:rPr>
          <w:bCs/>
        </w:rPr>
        <w:t xml:space="preserve"> floor machines to login into </w:t>
      </w:r>
      <w:r>
        <w:rPr>
          <w:bCs/>
        </w:rPr>
        <w:t>Century Link</w:t>
      </w:r>
      <w:r w:rsidRPr="00C40CAB">
        <w:rPr>
          <w:bCs/>
        </w:rPr>
        <w:t xml:space="preserve"> C</w:t>
      </w:r>
      <w:r>
        <w:rPr>
          <w:bCs/>
        </w:rPr>
        <w:t xml:space="preserve">itrix environment for doing </w:t>
      </w:r>
      <w:r w:rsidRPr="00C40CAB">
        <w:rPr>
          <w:bCs/>
        </w:rPr>
        <w:t>automation</w:t>
      </w:r>
      <w:r>
        <w:rPr>
          <w:bCs/>
        </w:rPr>
        <w:t>.</w:t>
      </w:r>
    </w:p>
    <w:p w:rsidR="00C107BD" w:rsidRPr="00996D31" w:rsidRDefault="00C107BD" w:rsidP="00C107BD"/>
    <w:p w:rsidR="00C107BD" w:rsidRPr="00996D31" w:rsidRDefault="00C107BD" w:rsidP="00C107BD">
      <w:pPr>
        <w:pStyle w:val="Heading1"/>
        <w:rPr>
          <w:sz w:val="28"/>
        </w:rPr>
      </w:pPr>
      <w:bookmarkStart w:id="16" w:name="_Toc19533522"/>
      <w:r w:rsidRPr="00996D31">
        <w:rPr>
          <w:sz w:val="28"/>
        </w:rPr>
        <w:t>Standards Requirements</w:t>
      </w:r>
      <w:bookmarkEnd w:id="16"/>
    </w:p>
    <w:p w:rsidR="00C107BD" w:rsidRDefault="00C107BD" w:rsidP="00C107BD">
      <w:pPr>
        <w:pStyle w:val="Heading2"/>
        <w:rPr>
          <w:sz w:val="24"/>
        </w:rPr>
      </w:pPr>
      <w:bookmarkStart w:id="17" w:name="_Toc19533523"/>
      <w:r>
        <w:rPr>
          <w:sz w:val="24"/>
        </w:rPr>
        <w:t>User Interface</w:t>
      </w:r>
      <w:r w:rsidRPr="00C40CAB">
        <w:rPr>
          <w:sz w:val="24"/>
        </w:rPr>
        <w:t xml:space="preserve"> Requirements</w:t>
      </w:r>
      <w:bookmarkEnd w:id="17"/>
    </w:p>
    <w:p w:rsidR="00C107BD" w:rsidRDefault="00C107BD" w:rsidP="00C107BD"/>
    <w:p w:rsidR="00C107BD" w:rsidRDefault="00C107BD" w:rsidP="00C107BD">
      <w:pP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TSG User Interface Standards will be followed.</w:t>
      </w:r>
    </w:p>
    <w:p w:rsidR="00C107BD" w:rsidRDefault="00C107BD" w:rsidP="00C107BD">
      <w:pPr>
        <w:pStyle w:val="Heading2"/>
        <w:rPr>
          <w:rFonts w:eastAsia="Calibri"/>
          <w:sz w:val="24"/>
        </w:rPr>
      </w:pPr>
      <w:bookmarkStart w:id="18" w:name="_Toc19533524"/>
      <w:r w:rsidRPr="00587D59">
        <w:rPr>
          <w:rFonts w:eastAsia="Calibri"/>
          <w:sz w:val="24"/>
        </w:rPr>
        <w:t>Document Standards</w:t>
      </w:r>
      <w:bookmarkEnd w:id="18"/>
    </w:p>
    <w:p w:rsidR="00C107BD" w:rsidRPr="00587D59" w:rsidRDefault="00C107BD" w:rsidP="00C107BD">
      <w:pPr>
        <w:rPr>
          <w:rFonts w:eastAsia="Calibri"/>
        </w:rPr>
      </w:pPr>
    </w:p>
    <w:p w:rsidR="00C107BD" w:rsidRDefault="00C107BD" w:rsidP="00C107BD">
      <w:pP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TSG Documentation Standards will be followed.</w:t>
      </w:r>
    </w:p>
    <w:p w:rsidR="00C107BD" w:rsidRDefault="00C107BD" w:rsidP="00C107BD">
      <w:pPr>
        <w:pStyle w:val="Heading2"/>
        <w:rPr>
          <w:rFonts w:eastAsia="Calibri"/>
          <w:sz w:val="24"/>
        </w:rPr>
      </w:pPr>
      <w:bookmarkStart w:id="19" w:name="_Toc19533525"/>
      <w:r w:rsidRPr="00204359">
        <w:rPr>
          <w:rFonts w:eastAsia="Calibri"/>
          <w:sz w:val="24"/>
        </w:rPr>
        <w:t>Encryption Details</w:t>
      </w:r>
      <w:bookmarkEnd w:id="19"/>
    </w:p>
    <w:p w:rsidR="00C107BD" w:rsidRDefault="00C107BD" w:rsidP="00C107BD">
      <w:pPr>
        <w:rPr>
          <w:rFonts w:eastAsia="Calibri"/>
        </w:rPr>
      </w:pPr>
    </w:p>
    <w:p w:rsidR="00C107BD" w:rsidRPr="00996D31" w:rsidRDefault="00C107BD" w:rsidP="00C107BD"/>
    <w:p w:rsidR="00C107BD" w:rsidRPr="00996D31" w:rsidRDefault="00C107BD" w:rsidP="00C107BD">
      <w:pPr>
        <w:pStyle w:val="Heading1"/>
        <w:rPr>
          <w:sz w:val="28"/>
        </w:rPr>
      </w:pPr>
      <w:bookmarkStart w:id="20" w:name="_Toc19533526"/>
      <w:r w:rsidRPr="00996D31">
        <w:rPr>
          <w:sz w:val="28"/>
        </w:rPr>
        <w:t>Assumptions and Acceptance Criteria</w:t>
      </w:r>
      <w:bookmarkEnd w:id="20"/>
    </w:p>
    <w:p w:rsidR="00C107BD" w:rsidRDefault="00C107BD" w:rsidP="00C107BD">
      <w:pPr>
        <w:pStyle w:val="Heading2"/>
        <w:rPr>
          <w:sz w:val="24"/>
        </w:rPr>
      </w:pPr>
      <w:bookmarkStart w:id="21" w:name="_Toc19533527"/>
      <w:r w:rsidRPr="00996D31">
        <w:rPr>
          <w:sz w:val="24"/>
        </w:rPr>
        <w:t>Assumptions:</w:t>
      </w:r>
      <w:bookmarkEnd w:id="21"/>
    </w:p>
    <w:p w:rsidR="00C107BD" w:rsidRDefault="00C107BD" w:rsidP="00C107BD"/>
    <w:p w:rsidR="00C107BD" w:rsidRPr="00996D31" w:rsidRDefault="00C107BD" w:rsidP="00C107BD">
      <w:pPr>
        <w:numPr>
          <w:ilvl w:val="0"/>
          <w:numId w:val="2"/>
        </w:numPr>
      </w:pPr>
      <w:r>
        <w:t>Century Link</w:t>
      </w:r>
      <w:r w:rsidRPr="00996D31">
        <w:t xml:space="preserve"> IT team to provision access to log-in to Citrix</w:t>
      </w:r>
    </w:p>
    <w:p w:rsidR="00C107BD" w:rsidRPr="00996D31" w:rsidRDefault="00C107BD" w:rsidP="00C107BD">
      <w:pPr>
        <w:numPr>
          <w:ilvl w:val="0"/>
          <w:numId w:val="2"/>
        </w:numPr>
      </w:pPr>
      <w:r>
        <w:t>Century Link</w:t>
      </w:r>
      <w:r w:rsidRPr="00996D31">
        <w:t xml:space="preserve"> IT team to provision access to following applications</w:t>
      </w:r>
      <w:r>
        <w:t>:</w:t>
      </w:r>
    </w:p>
    <w:p w:rsidR="00C107BD" w:rsidRPr="00996D31" w:rsidRDefault="00C107BD" w:rsidP="00C107BD">
      <w:pPr>
        <w:numPr>
          <w:ilvl w:val="0"/>
          <w:numId w:val="2"/>
        </w:numPr>
      </w:pPr>
      <w:r>
        <w:t>Century Link</w:t>
      </w:r>
      <w:r w:rsidRPr="00996D31">
        <w:t xml:space="preserve"> IT team to either setup generic (bot specific) user credentials or person specific user credentials for use by </w:t>
      </w:r>
      <w:r>
        <w:t>UiPath</w:t>
      </w:r>
      <w:r w:rsidRPr="00996D31">
        <w:t xml:space="preserve"> bots for logging into applications</w:t>
      </w:r>
    </w:p>
    <w:p w:rsidR="00C107BD" w:rsidRDefault="00C107BD" w:rsidP="00C107BD">
      <w:pPr>
        <w:numPr>
          <w:ilvl w:val="0"/>
          <w:numId w:val="2"/>
        </w:numPr>
      </w:pPr>
      <w:r w:rsidRPr="00D141A3">
        <w:t xml:space="preserve">Set up Production environment before UAT phase </w:t>
      </w:r>
      <w:r>
        <w:t>&amp; a</w:t>
      </w:r>
      <w:r w:rsidRPr="00D141A3">
        <w:t>llow automation on production applications wherever possible during System Testing and UAT, this would pre-empt the issues which we may face due to differences between non-production and production applications</w:t>
      </w:r>
    </w:p>
    <w:p w:rsidR="00C107BD" w:rsidRPr="00996D31" w:rsidRDefault="00C107BD" w:rsidP="00C107BD">
      <w:pPr>
        <w:numPr>
          <w:ilvl w:val="0"/>
          <w:numId w:val="2"/>
        </w:numPr>
      </w:pPr>
      <w:r w:rsidRPr="00996D31">
        <w:t xml:space="preserve">Provide approval/access: Local administrator access for RPA developers &amp; BOT </w:t>
      </w:r>
      <w:r>
        <w:t>Century Link</w:t>
      </w:r>
      <w:r w:rsidRPr="00996D31">
        <w:t xml:space="preserve"> profiles, Internet access for RPA developers, disable few settings in Local desktop/Citrix environment, allow screen share/Webex session with </w:t>
      </w:r>
      <w:r>
        <w:t>UiPath</w:t>
      </w:r>
      <w:r w:rsidRPr="00996D31">
        <w:t xml:space="preserve"> support team over internet</w:t>
      </w:r>
    </w:p>
    <w:p w:rsidR="00C107BD" w:rsidRDefault="00C107BD" w:rsidP="00C107BD">
      <w:pPr>
        <w:numPr>
          <w:ilvl w:val="0"/>
          <w:numId w:val="2"/>
        </w:numPr>
      </w:pPr>
      <w:r>
        <w:t>Century Link</w:t>
      </w:r>
      <w:r w:rsidRPr="00996D31">
        <w:t xml:space="preserve"> will identify a Single Point of Contact (SPOC) from the process team for clarifications, issue resolution, review and sign-off of deliverables during all phases</w:t>
      </w:r>
    </w:p>
    <w:p w:rsidR="00C107BD" w:rsidRDefault="00C107BD" w:rsidP="00C107BD">
      <w:pPr>
        <w:pStyle w:val="Heading2"/>
        <w:rPr>
          <w:sz w:val="24"/>
        </w:rPr>
      </w:pPr>
      <w:bookmarkStart w:id="22" w:name="_Toc19533528"/>
      <w:r w:rsidRPr="00D141A3">
        <w:rPr>
          <w:sz w:val="24"/>
        </w:rPr>
        <w:t>Acceptance Criteria:</w:t>
      </w:r>
      <w:bookmarkEnd w:id="22"/>
    </w:p>
    <w:p w:rsidR="00C107BD" w:rsidRDefault="00C107BD" w:rsidP="00C107BD"/>
    <w:p w:rsidR="00C107BD" w:rsidRDefault="00C107BD" w:rsidP="00C107BD">
      <w:r>
        <w:t>RPA will be considered successful provided:</w:t>
      </w:r>
    </w:p>
    <w:p w:rsidR="00C107BD" w:rsidRPr="00D141A3" w:rsidRDefault="00C107BD" w:rsidP="00C107BD">
      <w:pPr>
        <w:numPr>
          <w:ilvl w:val="0"/>
          <w:numId w:val="3"/>
        </w:numPr>
        <w:rPr>
          <w:bCs/>
        </w:rPr>
      </w:pPr>
      <w:r w:rsidRPr="00D141A3">
        <w:rPr>
          <w:bCs/>
        </w:rPr>
        <w:t xml:space="preserve">Establishing connectivity to the </w:t>
      </w:r>
      <w:r>
        <w:t>Century Link</w:t>
      </w:r>
      <w:r w:rsidRPr="00D141A3">
        <w:rPr>
          <w:bCs/>
        </w:rPr>
        <w:t xml:space="preserve"> network &amp; the underlying applications with </w:t>
      </w:r>
      <w:r>
        <w:rPr>
          <w:bCs/>
        </w:rPr>
        <w:t>UiPath</w:t>
      </w:r>
      <w:r w:rsidRPr="00D141A3">
        <w:rPr>
          <w:bCs/>
        </w:rPr>
        <w:t xml:space="preserve"> from Infosys Offshore environment over Citrix platform</w:t>
      </w:r>
    </w:p>
    <w:p w:rsidR="00C107BD" w:rsidRDefault="00C107BD" w:rsidP="00C107BD">
      <w:pPr>
        <w:numPr>
          <w:ilvl w:val="0"/>
          <w:numId w:val="3"/>
        </w:numPr>
        <w:rPr>
          <w:bCs/>
        </w:rPr>
      </w:pPr>
      <w:r>
        <w:rPr>
          <w:bCs/>
        </w:rPr>
        <w:lastRenderedPageBreak/>
        <w:t>UiPath</w:t>
      </w:r>
      <w:r w:rsidRPr="00D141A3">
        <w:rPr>
          <w:bCs/>
        </w:rPr>
        <w:t xml:space="preserve"> Bot is able to automate all the steps as covered in the detailed process flow </w:t>
      </w:r>
    </w:p>
    <w:p w:rsidR="00C107BD" w:rsidRDefault="00C107BD" w:rsidP="00C107BD">
      <w:pPr>
        <w:rPr>
          <w:bCs/>
        </w:rPr>
      </w:pPr>
    </w:p>
    <w:p w:rsidR="00C107BD" w:rsidRDefault="00C107BD" w:rsidP="00C107BD">
      <w:pPr>
        <w:pStyle w:val="Heading1"/>
        <w:rPr>
          <w:sz w:val="28"/>
        </w:rPr>
      </w:pPr>
      <w:bookmarkStart w:id="23" w:name="_Toc19533529"/>
      <w:r w:rsidRPr="00587D59">
        <w:rPr>
          <w:sz w:val="28"/>
        </w:rPr>
        <w:t>Requirements Change Management</w:t>
      </w:r>
      <w:bookmarkEnd w:id="23"/>
    </w:p>
    <w:p w:rsidR="00C107BD" w:rsidRPr="00587D59" w:rsidRDefault="00C107BD" w:rsidP="00C107BD"/>
    <w:p w:rsidR="00C107BD" w:rsidRPr="00587D59" w:rsidRDefault="00C107BD" w:rsidP="00C107BD">
      <w:r w:rsidRPr="00587D59">
        <w:t xml:space="preserve">TSG standard CR management will be followed by default to handle any CRs. </w:t>
      </w:r>
    </w:p>
    <w:bookmarkStart w:id="24" w:name="_MON_1597821117"/>
    <w:bookmarkEnd w:id="24"/>
    <w:p w:rsidR="00C107BD" w:rsidRDefault="00C107BD" w:rsidP="00C107BD">
      <w:r w:rsidRPr="00587D59">
        <w:object w:dxaOrig="1311" w:dyaOrig="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42.75pt" o:ole="">
            <v:imagedata r:id="rId7" o:title=""/>
          </v:shape>
          <o:OLEObject Type="Embed" ProgID="Word.Document.8" ShapeID="_x0000_i1025" DrawAspect="Icon" ObjectID="_1638012563" r:id="rId8">
            <o:FieldCodes>\s</o:FieldCodes>
          </o:OLEObject>
        </w:object>
      </w:r>
    </w:p>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Default="00C107BD" w:rsidP="00C107BD"/>
    <w:p w:rsidR="00C107BD" w:rsidRPr="00587D59" w:rsidRDefault="00C107BD" w:rsidP="00C107BD"/>
    <w:bookmarkEnd w:id="12"/>
    <w:p w:rsidR="00C107BD" w:rsidRPr="00382409" w:rsidRDefault="00C107BD" w:rsidP="00C107BD">
      <w:pPr>
        <w:ind w:left="-720"/>
        <w:jc w:val="center"/>
        <w:rPr>
          <w:rFonts w:asciiTheme="minorHAnsi" w:hAnsiTheme="minorHAnsi" w:cstheme="minorHAnsi"/>
          <w:b/>
          <w:sz w:val="28"/>
          <w:szCs w:val="18"/>
        </w:rPr>
      </w:pPr>
      <w:r w:rsidRPr="00382409">
        <w:rPr>
          <w:rFonts w:asciiTheme="minorHAnsi" w:hAnsiTheme="minorHAnsi" w:cstheme="minorHAnsi"/>
          <w:b/>
          <w:sz w:val="28"/>
          <w:szCs w:val="18"/>
        </w:rPr>
        <w:t>COPYRIGHT NOTICE</w:t>
      </w:r>
    </w:p>
    <w:p w:rsidR="00C107BD" w:rsidRPr="00950204" w:rsidRDefault="00C107BD" w:rsidP="00C107BD">
      <w:pPr>
        <w:ind w:left="-720"/>
        <w:jc w:val="center"/>
        <w:rPr>
          <w:rFonts w:ascii="Tahoma" w:hAnsi="Tahoma" w:cs="Tahoma"/>
          <w:b/>
          <w:sz w:val="18"/>
          <w:szCs w:val="18"/>
        </w:rPr>
      </w:pPr>
    </w:p>
    <w:p w:rsidR="00C107BD" w:rsidRPr="005005D4" w:rsidRDefault="00C107BD" w:rsidP="00C107BD">
      <w:pPr>
        <w:jc w:val="both"/>
        <w:rPr>
          <w:szCs w:val="22"/>
        </w:rPr>
      </w:pPr>
      <w:r w:rsidRPr="005005D4">
        <w:rPr>
          <w:szCs w:val="22"/>
        </w:rPr>
        <w:t>This Quality System is the property of Infosys BPM Limited. All ideas and information contained within the Quality System is the intellectual property of Infosys BPM Limited. These documents are not for general distribution and are meant for use only by the person/persons they are specifically issued to. Copying or unauthorized distribution of these documents, in any form or means including electronic, mechanical, photocopying or otherwise is illegal.</w:t>
      </w:r>
    </w:p>
    <w:p w:rsidR="00C107BD" w:rsidRPr="00950204" w:rsidRDefault="00C107BD" w:rsidP="00C107BD">
      <w:pPr>
        <w:ind w:left="-720"/>
        <w:jc w:val="center"/>
        <w:rPr>
          <w:rFonts w:ascii="Tahoma" w:hAnsi="Tahoma" w:cs="Tahoma"/>
          <w:b/>
          <w:sz w:val="18"/>
          <w:szCs w:val="18"/>
        </w:rPr>
      </w:pPr>
    </w:p>
    <w:p w:rsidR="00C107BD" w:rsidRPr="00950204" w:rsidRDefault="00C107BD" w:rsidP="00C107BD">
      <w:pPr>
        <w:ind w:left="-720"/>
        <w:jc w:val="center"/>
        <w:rPr>
          <w:rFonts w:ascii="Tahoma" w:hAnsi="Tahoma" w:cs="Tahoma"/>
          <w:b/>
          <w:sz w:val="18"/>
          <w:szCs w:val="18"/>
        </w:rPr>
      </w:pPr>
    </w:p>
    <w:p w:rsidR="00C107BD" w:rsidRPr="008D717B" w:rsidRDefault="00C107BD" w:rsidP="00C107BD">
      <w:pPr>
        <w:jc w:val="center"/>
        <w:rPr>
          <w:b/>
          <w:bCs/>
          <w:sz w:val="20"/>
          <w:szCs w:val="20"/>
        </w:rPr>
      </w:pPr>
      <w:r w:rsidRPr="008D717B">
        <w:rPr>
          <w:b/>
          <w:sz w:val="20"/>
          <w:szCs w:val="20"/>
        </w:rPr>
        <w:t>Revision History</w:t>
      </w:r>
    </w:p>
    <w:p w:rsidR="00C107BD" w:rsidRPr="008D717B" w:rsidRDefault="00C107BD" w:rsidP="00C107BD">
      <w:pPr>
        <w:rPr>
          <w:b/>
          <w:bCs/>
          <w:sz w:val="20"/>
          <w:szCs w:val="20"/>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A0" w:firstRow="1" w:lastRow="0" w:firstColumn="1" w:lastColumn="0" w:noHBand="0" w:noVBand="0"/>
      </w:tblPr>
      <w:tblGrid>
        <w:gridCol w:w="1327"/>
        <w:gridCol w:w="1530"/>
        <w:gridCol w:w="2070"/>
        <w:gridCol w:w="1980"/>
        <w:gridCol w:w="2767"/>
      </w:tblGrid>
      <w:tr w:rsidR="00C107BD" w:rsidRPr="008D717B" w:rsidTr="005B3233">
        <w:trPr>
          <w:trHeight w:val="264"/>
          <w:jc w:val="center"/>
        </w:trPr>
        <w:tc>
          <w:tcPr>
            <w:tcW w:w="1327" w:type="dxa"/>
            <w:shd w:val="clear" w:color="auto" w:fill="FFFFFF"/>
          </w:tcPr>
          <w:p w:rsidR="00C107BD" w:rsidRPr="008D717B" w:rsidRDefault="00C107BD" w:rsidP="005B3233">
            <w:pPr>
              <w:rPr>
                <w:b/>
                <w:color w:val="000000"/>
                <w:sz w:val="20"/>
                <w:szCs w:val="20"/>
              </w:rPr>
            </w:pPr>
            <w:r w:rsidRPr="008D717B">
              <w:rPr>
                <w:b/>
                <w:color w:val="000000"/>
                <w:sz w:val="20"/>
                <w:szCs w:val="20"/>
              </w:rPr>
              <w:t>Ver. Rev</w:t>
            </w:r>
          </w:p>
        </w:tc>
        <w:tc>
          <w:tcPr>
            <w:tcW w:w="1530" w:type="dxa"/>
            <w:shd w:val="clear" w:color="auto" w:fill="FFFFFF"/>
          </w:tcPr>
          <w:p w:rsidR="00C107BD" w:rsidRPr="008D717B" w:rsidRDefault="00C107BD" w:rsidP="005B3233">
            <w:pPr>
              <w:rPr>
                <w:b/>
                <w:color w:val="000000"/>
                <w:sz w:val="20"/>
                <w:szCs w:val="20"/>
              </w:rPr>
            </w:pPr>
            <w:r w:rsidRPr="008D717B">
              <w:rPr>
                <w:b/>
                <w:color w:val="000000"/>
                <w:sz w:val="20"/>
                <w:szCs w:val="20"/>
              </w:rPr>
              <w:t>Date</w:t>
            </w:r>
          </w:p>
        </w:tc>
        <w:tc>
          <w:tcPr>
            <w:tcW w:w="2070" w:type="dxa"/>
            <w:shd w:val="clear" w:color="auto" w:fill="FFFFFF"/>
          </w:tcPr>
          <w:p w:rsidR="00C107BD" w:rsidRPr="008D717B" w:rsidRDefault="00C107BD" w:rsidP="005B3233">
            <w:pPr>
              <w:rPr>
                <w:b/>
                <w:color w:val="000000"/>
                <w:sz w:val="20"/>
                <w:szCs w:val="20"/>
              </w:rPr>
            </w:pPr>
            <w:r w:rsidRPr="008D717B">
              <w:rPr>
                <w:b/>
                <w:color w:val="000000"/>
                <w:sz w:val="20"/>
                <w:szCs w:val="20"/>
              </w:rPr>
              <w:t>Author</w:t>
            </w:r>
          </w:p>
        </w:tc>
        <w:tc>
          <w:tcPr>
            <w:tcW w:w="1980" w:type="dxa"/>
            <w:shd w:val="clear" w:color="auto" w:fill="FFFFFF"/>
          </w:tcPr>
          <w:p w:rsidR="00C107BD" w:rsidRPr="008D717B" w:rsidRDefault="00C107BD" w:rsidP="005B3233">
            <w:pPr>
              <w:rPr>
                <w:b/>
                <w:color w:val="000000"/>
                <w:sz w:val="20"/>
                <w:szCs w:val="20"/>
              </w:rPr>
            </w:pPr>
            <w:r w:rsidRPr="008D717B">
              <w:rPr>
                <w:b/>
                <w:color w:val="000000"/>
                <w:sz w:val="20"/>
                <w:szCs w:val="20"/>
              </w:rPr>
              <w:t>Approved By</w:t>
            </w:r>
          </w:p>
        </w:tc>
        <w:tc>
          <w:tcPr>
            <w:tcW w:w="2767" w:type="dxa"/>
            <w:shd w:val="clear" w:color="auto" w:fill="FFFFFF"/>
          </w:tcPr>
          <w:p w:rsidR="00C107BD" w:rsidRPr="008D717B" w:rsidRDefault="00C107BD" w:rsidP="005B3233">
            <w:pPr>
              <w:rPr>
                <w:b/>
                <w:color w:val="000000"/>
                <w:sz w:val="20"/>
                <w:szCs w:val="20"/>
              </w:rPr>
            </w:pPr>
            <w:r w:rsidRPr="008D717B">
              <w:rPr>
                <w:b/>
                <w:color w:val="000000"/>
                <w:sz w:val="20"/>
                <w:szCs w:val="20"/>
              </w:rPr>
              <w:t>Description</w:t>
            </w:r>
          </w:p>
        </w:tc>
      </w:tr>
      <w:tr w:rsidR="00C107BD" w:rsidRPr="008D717B" w:rsidTr="005B3233">
        <w:trPr>
          <w:trHeight w:val="279"/>
          <w:jc w:val="center"/>
        </w:trPr>
        <w:tc>
          <w:tcPr>
            <w:tcW w:w="1327" w:type="dxa"/>
          </w:tcPr>
          <w:p w:rsidR="00C107BD" w:rsidRPr="008D717B" w:rsidRDefault="00C107BD" w:rsidP="005B3233">
            <w:pPr>
              <w:spacing w:line="276" w:lineRule="auto"/>
              <w:rPr>
                <w:bCs/>
                <w:color w:val="000000"/>
                <w:sz w:val="20"/>
                <w:szCs w:val="20"/>
              </w:rPr>
            </w:pPr>
            <w:r w:rsidRPr="008D717B">
              <w:rPr>
                <w:color w:val="000000"/>
                <w:sz w:val="20"/>
                <w:szCs w:val="20"/>
              </w:rPr>
              <w:t>1.0</w:t>
            </w:r>
          </w:p>
        </w:tc>
        <w:tc>
          <w:tcPr>
            <w:tcW w:w="1530" w:type="dxa"/>
          </w:tcPr>
          <w:p w:rsidR="00C107BD" w:rsidRPr="008D717B" w:rsidRDefault="00C107BD" w:rsidP="005B3233">
            <w:pPr>
              <w:spacing w:line="276" w:lineRule="auto"/>
              <w:rPr>
                <w:bCs/>
                <w:color w:val="000000"/>
                <w:sz w:val="20"/>
                <w:szCs w:val="20"/>
              </w:rPr>
            </w:pPr>
            <w:r w:rsidRPr="008D717B">
              <w:rPr>
                <w:color w:val="000000"/>
                <w:sz w:val="20"/>
                <w:szCs w:val="20"/>
              </w:rPr>
              <w:t>July 2004</w:t>
            </w:r>
          </w:p>
        </w:tc>
        <w:tc>
          <w:tcPr>
            <w:tcW w:w="2070" w:type="dxa"/>
          </w:tcPr>
          <w:p w:rsidR="00C107BD" w:rsidRPr="008D717B" w:rsidRDefault="00C107BD" w:rsidP="005B3233">
            <w:pPr>
              <w:spacing w:line="276" w:lineRule="auto"/>
              <w:rPr>
                <w:bCs/>
                <w:color w:val="000000"/>
                <w:sz w:val="20"/>
                <w:szCs w:val="20"/>
              </w:rPr>
            </w:pPr>
            <w:r w:rsidRPr="008D717B">
              <w:rPr>
                <w:color w:val="000000"/>
                <w:sz w:val="20"/>
                <w:szCs w:val="20"/>
              </w:rPr>
              <w:t>Sudarshan  Raghunath</w:t>
            </w:r>
          </w:p>
        </w:tc>
        <w:tc>
          <w:tcPr>
            <w:tcW w:w="1980" w:type="dxa"/>
          </w:tcPr>
          <w:p w:rsidR="00C107BD" w:rsidRPr="008D717B" w:rsidRDefault="00C107BD" w:rsidP="005B3233">
            <w:pPr>
              <w:spacing w:line="276" w:lineRule="auto"/>
              <w:rPr>
                <w:bCs/>
                <w:color w:val="000000"/>
                <w:sz w:val="20"/>
                <w:szCs w:val="20"/>
              </w:rPr>
            </w:pPr>
            <w:r w:rsidRPr="008D717B">
              <w:rPr>
                <w:color w:val="000000"/>
                <w:sz w:val="20"/>
                <w:szCs w:val="20"/>
              </w:rPr>
              <w:t>Varsha BV</w:t>
            </w:r>
          </w:p>
        </w:tc>
        <w:tc>
          <w:tcPr>
            <w:tcW w:w="2767" w:type="dxa"/>
          </w:tcPr>
          <w:p w:rsidR="00C107BD" w:rsidRPr="008D717B" w:rsidRDefault="00C107BD" w:rsidP="005B3233">
            <w:pPr>
              <w:spacing w:line="276" w:lineRule="auto"/>
              <w:rPr>
                <w:bCs/>
                <w:color w:val="000000"/>
                <w:sz w:val="20"/>
                <w:szCs w:val="20"/>
              </w:rPr>
            </w:pPr>
            <w:r w:rsidRPr="008D717B">
              <w:rPr>
                <w:color w:val="000000"/>
                <w:sz w:val="20"/>
                <w:szCs w:val="20"/>
              </w:rPr>
              <w:t>Baseline Version</w:t>
            </w:r>
          </w:p>
        </w:tc>
      </w:tr>
      <w:tr w:rsidR="00C107BD" w:rsidRPr="008D717B" w:rsidTr="005B3233">
        <w:trPr>
          <w:trHeight w:val="264"/>
          <w:jc w:val="center"/>
        </w:trPr>
        <w:tc>
          <w:tcPr>
            <w:tcW w:w="1327" w:type="dxa"/>
          </w:tcPr>
          <w:p w:rsidR="00C107BD" w:rsidRPr="008D717B" w:rsidRDefault="00C107BD" w:rsidP="005B3233">
            <w:pPr>
              <w:spacing w:line="276" w:lineRule="auto"/>
              <w:rPr>
                <w:bCs/>
                <w:color w:val="000000"/>
                <w:sz w:val="20"/>
                <w:szCs w:val="20"/>
              </w:rPr>
            </w:pPr>
            <w:r w:rsidRPr="008D717B">
              <w:rPr>
                <w:color w:val="000000"/>
                <w:sz w:val="20"/>
                <w:szCs w:val="20"/>
              </w:rPr>
              <w:t>1.2</w:t>
            </w:r>
          </w:p>
        </w:tc>
        <w:tc>
          <w:tcPr>
            <w:tcW w:w="1530" w:type="dxa"/>
          </w:tcPr>
          <w:p w:rsidR="00C107BD" w:rsidRPr="008D717B" w:rsidRDefault="00C107BD" w:rsidP="005B3233">
            <w:pPr>
              <w:spacing w:line="276" w:lineRule="auto"/>
              <w:rPr>
                <w:bCs/>
                <w:color w:val="000000"/>
                <w:sz w:val="20"/>
                <w:szCs w:val="20"/>
              </w:rPr>
            </w:pPr>
            <w:r w:rsidRPr="008D717B">
              <w:rPr>
                <w:color w:val="000000"/>
                <w:sz w:val="20"/>
                <w:szCs w:val="20"/>
              </w:rPr>
              <w:t>May 2005</w:t>
            </w:r>
          </w:p>
        </w:tc>
        <w:tc>
          <w:tcPr>
            <w:tcW w:w="2070" w:type="dxa"/>
          </w:tcPr>
          <w:p w:rsidR="00C107BD" w:rsidRPr="008D717B" w:rsidRDefault="00C107BD" w:rsidP="005B3233">
            <w:pPr>
              <w:spacing w:line="276" w:lineRule="auto"/>
              <w:rPr>
                <w:bCs/>
                <w:color w:val="000000"/>
                <w:sz w:val="20"/>
                <w:szCs w:val="20"/>
              </w:rPr>
            </w:pPr>
            <w:r w:rsidRPr="008D717B">
              <w:rPr>
                <w:color w:val="000000"/>
                <w:sz w:val="20"/>
                <w:szCs w:val="20"/>
              </w:rPr>
              <w:t>Sudarshan Raghunath</w:t>
            </w:r>
          </w:p>
        </w:tc>
        <w:tc>
          <w:tcPr>
            <w:tcW w:w="1980" w:type="dxa"/>
          </w:tcPr>
          <w:p w:rsidR="00C107BD" w:rsidRPr="008D717B" w:rsidRDefault="00C107BD" w:rsidP="005B3233">
            <w:pPr>
              <w:spacing w:line="276" w:lineRule="auto"/>
              <w:rPr>
                <w:bCs/>
                <w:color w:val="000000"/>
                <w:sz w:val="20"/>
                <w:szCs w:val="20"/>
              </w:rPr>
            </w:pPr>
            <w:r w:rsidRPr="008D717B">
              <w:rPr>
                <w:color w:val="000000"/>
                <w:sz w:val="20"/>
                <w:szCs w:val="20"/>
              </w:rPr>
              <w:t>Raja V</w:t>
            </w:r>
          </w:p>
        </w:tc>
        <w:tc>
          <w:tcPr>
            <w:tcW w:w="2767" w:type="dxa"/>
          </w:tcPr>
          <w:p w:rsidR="00C107BD" w:rsidRPr="008D717B" w:rsidRDefault="00C107BD" w:rsidP="005B3233">
            <w:pPr>
              <w:spacing w:line="276" w:lineRule="auto"/>
              <w:rPr>
                <w:bCs/>
                <w:color w:val="000000"/>
                <w:sz w:val="20"/>
                <w:szCs w:val="20"/>
              </w:rPr>
            </w:pPr>
            <w:r w:rsidRPr="008D717B">
              <w:rPr>
                <w:color w:val="000000"/>
                <w:sz w:val="20"/>
                <w:szCs w:val="20"/>
              </w:rPr>
              <w:t>Modified TeSG to TSG</w:t>
            </w:r>
          </w:p>
        </w:tc>
      </w:tr>
      <w:tr w:rsidR="00C107BD" w:rsidRPr="008D717B" w:rsidTr="005B3233">
        <w:trPr>
          <w:trHeight w:val="264"/>
          <w:jc w:val="center"/>
        </w:trPr>
        <w:tc>
          <w:tcPr>
            <w:tcW w:w="1327" w:type="dxa"/>
          </w:tcPr>
          <w:p w:rsidR="00C107BD" w:rsidRPr="008D717B" w:rsidRDefault="00C107BD" w:rsidP="005B3233">
            <w:pPr>
              <w:spacing w:line="276" w:lineRule="auto"/>
              <w:rPr>
                <w:bCs/>
                <w:color w:val="000000"/>
                <w:sz w:val="20"/>
                <w:szCs w:val="20"/>
              </w:rPr>
            </w:pPr>
            <w:r w:rsidRPr="008D717B">
              <w:rPr>
                <w:color w:val="000000"/>
                <w:sz w:val="20"/>
                <w:szCs w:val="20"/>
              </w:rPr>
              <w:t>1.3</w:t>
            </w:r>
          </w:p>
        </w:tc>
        <w:tc>
          <w:tcPr>
            <w:tcW w:w="1530" w:type="dxa"/>
          </w:tcPr>
          <w:p w:rsidR="00C107BD" w:rsidRPr="008D717B" w:rsidRDefault="00C107BD" w:rsidP="005B3233">
            <w:pPr>
              <w:spacing w:line="276" w:lineRule="auto"/>
              <w:rPr>
                <w:bCs/>
                <w:color w:val="000000"/>
                <w:sz w:val="20"/>
                <w:szCs w:val="20"/>
              </w:rPr>
            </w:pPr>
            <w:r w:rsidRPr="008D717B">
              <w:rPr>
                <w:color w:val="000000"/>
                <w:sz w:val="20"/>
                <w:szCs w:val="20"/>
              </w:rPr>
              <w:t>October 2005</w:t>
            </w:r>
          </w:p>
        </w:tc>
        <w:tc>
          <w:tcPr>
            <w:tcW w:w="2070" w:type="dxa"/>
          </w:tcPr>
          <w:p w:rsidR="00C107BD" w:rsidRPr="008D717B" w:rsidRDefault="00C107BD" w:rsidP="005B3233">
            <w:pPr>
              <w:spacing w:line="276" w:lineRule="auto"/>
              <w:rPr>
                <w:bCs/>
                <w:color w:val="000000"/>
                <w:sz w:val="20"/>
                <w:szCs w:val="20"/>
              </w:rPr>
            </w:pPr>
            <w:r w:rsidRPr="008D717B">
              <w:rPr>
                <w:color w:val="000000"/>
                <w:sz w:val="20"/>
                <w:szCs w:val="20"/>
              </w:rPr>
              <w:t>Sudarshan Raghunath</w:t>
            </w:r>
          </w:p>
        </w:tc>
        <w:tc>
          <w:tcPr>
            <w:tcW w:w="1980" w:type="dxa"/>
          </w:tcPr>
          <w:p w:rsidR="00C107BD" w:rsidRPr="008D717B" w:rsidRDefault="00C107BD" w:rsidP="005B3233">
            <w:pPr>
              <w:spacing w:line="276" w:lineRule="auto"/>
              <w:rPr>
                <w:bCs/>
                <w:color w:val="000000"/>
                <w:sz w:val="20"/>
                <w:szCs w:val="20"/>
              </w:rPr>
            </w:pPr>
            <w:r w:rsidRPr="008D717B">
              <w:rPr>
                <w:color w:val="000000"/>
                <w:sz w:val="20"/>
                <w:szCs w:val="20"/>
              </w:rPr>
              <w:t>Raja V</w:t>
            </w:r>
          </w:p>
        </w:tc>
        <w:tc>
          <w:tcPr>
            <w:tcW w:w="2767" w:type="dxa"/>
          </w:tcPr>
          <w:p w:rsidR="00C107BD" w:rsidRPr="008D717B" w:rsidRDefault="00C107BD" w:rsidP="005B3233">
            <w:pPr>
              <w:spacing w:line="276" w:lineRule="auto"/>
              <w:rPr>
                <w:bCs/>
                <w:color w:val="000000"/>
                <w:sz w:val="20"/>
                <w:szCs w:val="20"/>
              </w:rPr>
            </w:pPr>
            <w:r w:rsidRPr="008D717B">
              <w:rPr>
                <w:color w:val="000000"/>
                <w:sz w:val="20"/>
                <w:szCs w:val="20"/>
              </w:rPr>
              <w:t>Added copyright notice and revision history</w:t>
            </w:r>
          </w:p>
        </w:tc>
      </w:tr>
      <w:tr w:rsidR="00C107BD" w:rsidRPr="008D717B" w:rsidTr="005B3233">
        <w:trPr>
          <w:trHeight w:val="264"/>
          <w:jc w:val="center"/>
        </w:trPr>
        <w:tc>
          <w:tcPr>
            <w:tcW w:w="1327" w:type="dxa"/>
          </w:tcPr>
          <w:p w:rsidR="00C107BD" w:rsidRPr="008D717B" w:rsidRDefault="00C107BD" w:rsidP="005B3233">
            <w:pPr>
              <w:spacing w:line="276" w:lineRule="auto"/>
              <w:rPr>
                <w:bCs/>
                <w:color w:val="000000"/>
                <w:sz w:val="20"/>
                <w:szCs w:val="20"/>
              </w:rPr>
            </w:pPr>
            <w:r w:rsidRPr="008D717B">
              <w:rPr>
                <w:color w:val="000000"/>
                <w:sz w:val="20"/>
                <w:szCs w:val="20"/>
              </w:rPr>
              <w:t>1.4</w:t>
            </w:r>
          </w:p>
        </w:tc>
        <w:tc>
          <w:tcPr>
            <w:tcW w:w="1530" w:type="dxa"/>
          </w:tcPr>
          <w:p w:rsidR="00C107BD" w:rsidRPr="008D717B" w:rsidRDefault="00C107BD" w:rsidP="005B3233">
            <w:pPr>
              <w:spacing w:line="276" w:lineRule="auto"/>
              <w:rPr>
                <w:bCs/>
                <w:color w:val="000000"/>
                <w:sz w:val="20"/>
                <w:szCs w:val="20"/>
              </w:rPr>
            </w:pPr>
            <w:r w:rsidRPr="008D717B">
              <w:rPr>
                <w:color w:val="000000"/>
                <w:sz w:val="20"/>
                <w:szCs w:val="20"/>
              </w:rPr>
              <w:t>July 2006</w:t>
            </w:r>
          </w:p>
        </w:tc>
        <w:tc>
          <w:tcPr>
            <w:tcW w:w="2070" w:type="dxa"/>
          </w:tcPr>
          <w:p w:rsidR="00C107BD" w:rsidRPr="008D717B" w:rsidRDefault="00C107BD" w:rsidP="005B3233">
            <w:pPr>
              <w:spacing w:line="276" w:lineRule="auto"/>
              <w:rPr>
                <w:bCs/>
                <w:color w:val="000000"/>
                <w:sz w:val="20"/>
                <w:szCs w:val="20"/>
              </w:rPr>
            </w:pPr>
            <w:r w:rsidRPr="008D717B">
              <w:rPr>
                <w:color w:val="000000"/>
                <w:sz w:val="20"/>
                <w:szCs w:val="20"/>
              </w:rPr>
              <w:t>Sudarshan Raghunath</w:t>
            </w:r>
          </w:p>
        </w:tc>
        <w:tc>
          <w:tcPr>
            <w:tcW w:w="1980" w:type="dxa"/>
          </w:tcPr>
          <w:p w:rsidR="00C107BD" w:rsidRPr="008D717B" w:rsidRDefault="00C107BD" w:rsidP="005B3233">
            <w:pPr>
              <w:spacing w:line="276" w:lineRule="auto"/>
              <w:rPr>
                <w:bCs/>
                <w:color w:val="000000"/>
                <w:sz w:val="20"/>
                <w:szCs w:val="20"/>
              </w:rPr>
            </w:pPr>
            <w:r w:rsidRPr="008D717B">
              <w:rPr>
                <w:color w:val="000000"/>
                <w:sz w:val="20"/>
                <w:szCs w:val="20"/>
              </w:rPr>
              <w:t>Satish Nair</w:t>
            </w:r>
          </w:p>
        </w:tc>
        <w:tc>
          <w:tcPr>
            <w:tcW w:w="2767" w:type="dxa"/>
          </w:tcPr>
          <w:p w:rsidR="00C107BD" w:rsidRPr="008D717B" w:rsidRDefault="00C107BD" w:rsidP="005B3233">
            <w:pPr>
              <w:spacing w:line="276" w:lineRule="auto"/>
              <w:rPr>
                <w:bCs/>
                <w:color w:val="000000"/>
                <w:sz w:val="20"/>
                <w:szCs w:val="20"/>
              </w:rPr>
            </w:pPr>
            <w:r w:rsidRPr="008D717B">
              <w:rPr>
                <w:color w:val="000000"/>
                <w:sz w:val="20"/>
                <w:szCs w:val="20"/>
              </w:rPr>
              <w:t>Modified structure of template, fixed formatting problems, included specific guidelines on what needs to be included in each section of the document.</w:t>
            </w:r>
          </w:p>
        </w:tc>
      </w:tr>
      <w:tr w:rsidR="00C107BD" w:rsidRPr="008D717B" w:rsidTr="005B3233">
        <w:trPr>
          <w:trHeight w:val="264"/>
          <w:jc w:val="center"/>
        </w:trPr>
        <w:tc>
          <w:tcPr>
            <w:tcW w:w="1327" w:type="dxa"/>
          </w:tcPr>
          <w:p w:rsidR="00C107BD" w:rsidRPr="008D717B" w:rsidRDefault="00C107BD" w:rsidP="005B3233">
            <w:pPr>
              <w:spacing w:line="276" w:lineRule="auto"/>
              <w:rPr>
                <w:bCs/>
                <w:color w:val="000000"/>
                <w:sz w:val="20"/>
                <w:szCs w:val="20"/>
              </w:rPr>
            </w:pPr>
            <w:r w:rsidRPr="008D717B">
              <w:rPr>
                <w:color w:val="000000"/>
                <w:sz w:val="20"/>
                <w:szCs w:val="20"/>
              </w:rPr>
              <w:t>1.5</w:t>
            </w:r>
          </w:p>
        </w:tc>
        <w:tc>
          <w:tcPr>
            <w:tcW w:w="1530" w:type="dxa"/>
          </w:tcPr>
          <w:p w:rsidR="00C107BD" w:rsidRPr="008D717B" w:rsidRDefault="00C107BD" w:rsidP="005B3233">
            <w:pPr>
              <w:spacing w:line="276" w:lineRule="auto"/>
              <w:rPr>
                <w:bCs/>
                <w:color w:val="000000"/>
                <w:sz w:val="20"/>
                <w:szCs w:val="20"/>
              </w:rPr>
            </w:pPr>
            <w:r w:rsidRPr="008D717B">
              <w:rPr>
                <w:color w:val="000000"/>
                <w:sz w:val="20"/>
                <w:szCs w:val="20"/>
              </w:rPr>
              <w:t>November 2006</w:t>
            </w:r>
          </w:p>
        </w:tc>
        <w:tc>
          <w:tcPr>
            <w:tcW w:w="2070" w:type="dxa"/>
          </w:tcPr>
          <w:p w:rsidR="00C107BD" w:rsidRPr="008D717B" w:rsidRDefault="00C107BD" w:rsidP="005B3233">
            <w:pPr>
              <w:spacing w:line="276" w:lineRule="auto"/>
              <w:rPr>
                <w:bCs/>
                <w:color w:val="000000"/>
                <w:sz w:val="20"/>
                <w:szCs w:val="20"/>
              </w:rPr>
            </w:pPr>
            <w:r w:rsidRPr="008D717B">
              <w:rPr>
                <w:color w:val="000000"/>
                <w:sz w:val="20"/>
                <w:szCs w:val="20"/>
              </w:rPr>
              <w:t>Quality</w:t>
            </w:r>
          </w:p>
        </w:tc>
        <w:tc>
          <w:tcPr>
            <w:tcW w:w="1980" w:type="dxa"/>
          </w:tcPr>
          <w:p w:rsidR="00C107BD" w:rsidRPr="008D717B" w:rsidRDefault="00C107BD" w:rsidP="005B3233">
            <w:pPr>
              <w:spacing w:line="276" w:lineRule="auto"/>
              <w:rPr>
                <w:bCs/>
                <w:color w:val="000000"/>
                <w:sz w:val="20"/>
                <w:szCs w:val="20"/>
              </w:rPr>
            </w:pPr>
            <w:r w:rsidRPr="008D717B">
              <w:rPr>
                <w:color w:val="000000"/>
                <w:sz w:val="20"/>
                <w:szCs w:val="20"/>
              </w:rPr>
              <w:t>K V Rama Mohan</w:t>
            </w:r>
          </w:p>
        </w:tc>
        <w:tc>
          <w:tcPr>
            <w:tcW w:w="2767" w:type="dxa"/>
          </w:tcPr>
          <w:p w:rsidR="00C107BD" w:rsidRPr="008D717B" w:rsidRDefault="00C107BD" w:rsidP="005B3233">
            <w:pPr>
              <w:spacing w:line="276" w:lineRule="auto"/>
              <w:rPr>
                <w:bCs/>
                <w:color w:val="000000"/>
                <w:sz w:val="20"/>
                <w:szCs w:val="20"/>
              </w:rPr>
            </w:pPr>
            <w:r w:rsidRPr="008D717B">
              <w:rPr>
                <w:color w:val="000000"/>
                <w:sz w:val="20"/>
                <w:szCs w:val="20"/>
              </w:rPr>
              <w:t>Changed the name of the organization.</w:t>
            </w:r>
          </w:p>
        </w:tc>
      </w:tr>
      <w:tr w:rsidR="00C107BD" w:rsidRPr="008D717B" w:rsidTr="005B3233">
        <w:trPr>
          <w:trHeight w:val="264"/>
          <w:jc w:val="center"/>
        </w:trPr>
        <w:tc>
          <w:tcPr>
            <w:tcW w:w="1327" w:type="dxa"/>
          </w:tcPr>
          <w:p w:rsidR="00C107BD" w:rsidRPr="008D717B" w:rsidRDefault="00C107BD" w:rsidP="005B3233">
            <w:pPr>
              <w:spacing w:line="276" w:lineRule="auto"/>
              <w:rPr>
                <w:bCs/>
                <w:color w:val="000000"/>
                <w:sz w:val="20"/>
                <w:szCs w:val="20"/>
              </w:rPr>
            </w:pPr>
            <w:r w:rsidRPr="008D717B">
              <w:rPr>
                <w:color w:val="000000"/>
                <w:sz w:val="20"/>
                <w:szCs w:val="20"/>
              </w:rPr>
              <w:t>1.5</w:t>
            </w:r>
          </w:p>
        </w:tc>
        <w:tc>
          <w:tcPr>
            <w:tcW w:w="1530" w:type="dxa"/>
          </w:tcPr>
          <w:p w:rsidR="00C107BD" w:rsidRPr="008D717B" w:rsidRDefault="00C107BD" w:rsidP="005B3233">
            <w:pPr>
              <w:spacing w:line="276" w:lineRule="auto"/>
              <w:rPr>
                <w:bCs/>
                <w:color w:val="000000"/>
                <w:sz w:val="20"/>
                <w:szCs w:val="20"/>
              </w:rPr>
            </w:pPr>
            <w:r w:rsidRPr="008D717B">
              <w:rPr>
                <w:color w:val="000000"/>
                <w:sz w:val="20"/>
                <w:szCs w:val="20"/>
              </w:rPr>
              <w:t xml:space="preserve">Oct 2010 </w:t>
            </w:r>
          </w:p>
        </w:tc>
        <w:tc>
          <w:tcPr>
            <w:tcW w:w="2070" w:type="dxa"/>
          </w:tcPr>
          <w:p w:rsidR="00C107BD" w:rsidRPr="008D717B" w:rsidRDefault="00C107BD" w:rsidP="005B3233">
            <w:pPr>
              <w:spacing w:line="276" w:lineRule="auto"/>
              <w:rPr>
                <w:bCs/>
                <w:color w:val="000000"/>
                <w:sz w:val="20"/>
                <w:szCs w:val="20"/>
              </w:rPr>
            </w:pPr>
            <w:r w:rsidRPr="008D717B">
              <w:rPr>
                <w:color w:val="000000"/>
                <w:sz w:val="20"/>
                <w:szCs w:val="20"/>
              </w:rPr>
              <w:t>Sharad Nandini</w:t>
            </w:r>
          </w:p>
        </w:tc>
        <w:tc>
          <w:tcPr>
            <w:tcW w:w="1980" w:type="dxa"/>
          </w:tcPr>
          <w:p w:rsidR="00C107BD" w:rsidRPr="008D717B" w:rsidRDefault="00C107BD" w:rsidP="005B3233">
            <w:pPr>
              <w:spacing w:line="276" w:lineRule="auto"/>
              <w:rPr>
                <w:bCs/>
                <w:color w:val="000000"/>
                <w:sz w:val="20"/>
                <w:szCs w:val="20"/>
              </w:rPr>
            </w:pPr>
            <w:r w:rsidRPr="008D717B">
              <w:rPr>
                <w:color w:val="000000"/>
                <w:sz w:val="20"/>
                <w:szCs w:val="20"/>
              </w:rPr>
              <w:t>Nithya Prabhakar</w:t>
            </w:r>
          </w:p>
        </w:tc>
        <w:tc>
          <w:tcPr>
            <w:tcW w:w="2767" w:type="dxa"/>
          </w:tcPr>
          <w:p w:rsidR="00C107BD" w:rsidRPr="008D717B" w:rsidRDefault="00C107BD" w:rsidP="005B3233">
            <w:pPr>
              <w:spacing w:line="276" w:lineRule="auto"/>
              <w:rPr>
                <w:bCs/>
                <w:color w:val="000000"/>
                <w:sz w:val="20"/>
                <w:szCs w:val="20"/>
              </w:rPr>
            </w:pPr>
            <w:r w:rsidRPr="008D717B">
              <w:rPr>
                <w:color w:val="000000"/>
                <w:sz w:val="20"/>
                <w:szCs w:val="20"/>
              </w:rPr>
              <w:t>Reviewed and no changes recorded</w:t>
            </w:r>
          </w:p>
        </w:tc>
      </w:tr>
      <w:tr w:rsidR="00C107BD" w:rsidRPr="008D717B" w:rsidTr="005B3233">
        <w:trPr>
          <w:trHeight w:val="264"/>
          <w:jc w:val="center"/>
        </w:trPr>
        <w:tc>
          <w:tcPr>
            <w:tcW w:w="1327" w:type="dxa"/>
          </w:tcPr>
          <w:p w:rsidR="00C107BD" w:rsidRPr="008D717B" w:rsidRDefault="00C107BD" w:rsidP="005B3233">
            <w:pPr>
              <w:spacing w:line="276" w:lineRule="auto"/>
              <w:rPr>
                <w:bCs/>
                <w:color w:val="000000"/>
                <w:sz w:val="20"/>
                <w:szCs w:val="20"/>
              </w:rPr>
            </w:pPr>
            <w:r w:rsidRPr="008D717B">
              <w:rPr>
                <w:color w:val="000000"/>
                <w:sz w:val="20"/>
                <w:szCs w:val="20"/>
              </w:rPr>
              <w:t>1.6</w:t>
            </w:r>
          </w:p>
        </w:tc>
        <w:tc>
          <w:tcPr>
            <w:tcW w:w="1530" w:type="dxa"/>
          </w:tcPr>
          <w:p w:rsidR="00C107BD" w:rsidRPr="008D717B" w:rsidRDefault="00C107BD" w:rsidP="005B3233">
            <w:pPr>
              <w:spacing w:line="276" w:lineRule="auto"/>
              <w:rPr>
                <w:bCs/>
                <w:color w:val="000000"/>
                <w:sz w:val="20"/>
                <w:szCs w:val="20"/>
              </w:rPr>
            </w:pPr>
            <w:r w:rsidRPr="008D717B">
              <w:rPr>
                <w:color w:val="000000"/>
                <w:sz w:val="20"/>
                <w:szCs w:val="20"/>
              </w:rPr>
              <w:t>Aug 2012</w:t>
            </w:r>
          </w:p>
        </w:tc>
        <w:tc>
          <w:tcPr>
            <w:tcW w:w="2070" w:type="dxa"/>
          </w:tcPr>
          <w:p w:rsidR="00C107BD" w:rsidRPr="008D717B" w:rsidRDefault="00C107BD" w:rsidP="005B3233">
            <w:pPr>
              <w:spacing w:line="276" w:lineRule="auto"/>
              <w:rPr>
                <w:bCs/>
                <w:color w:val="000000"/>
                <w:sz w:val="20"/>
                <w:szCs w:val="20"/>
              </w:rPr>
            </w:pPr>
            <w:r w:rsidRPr="008D717B">
              <w:rPr>
                <w:color w:val="000000"/>
                <w:sz w:val="20"/>
                <w:szCs w:val="20"/>
              </w:rPr>
              <w:t>Aparna Pagadala</w:t>
            </w:r>
          </w:p>
        </w:tc>
        <w:tc>
          <w:tcPr>
            <w:tcW w:w="1980" w:type="dxa"/>
          </w:tcPr>
          <w:p w:rsidR="00C107BD" w:rsidRPr="008D717B" w:rsidRDefault="00C107BD" w:rsidP="005B3233">
            <w:pPr>
              <w:spacing w:line="276" w:lineRule="auto"/>
              <w:rPr>
                <w:bCs/>
                <w:color w:val="000000"/>
                <w:sz w:val="20"/>
                <w:szCs w:val="20"/>
              </w:rPr>
            </w:pPr>
            <w:r w:rsidRPr="008D717B">
              <w:rPr>
                <w:color w:val="000000"/>
                <w:sz w:val="20"/>
                <w:szCs w:val="20"/>
              </w:rPr>
              <w:t>Nithya Prabhakar</w:t>
            </w:r>
          </w:p>
        </w:tc>
        <w:tc>
          <w:tcPr>
            <w:tcW w:w="2767" w:type="dxa"/>
          </w:tcPr>
          <w:p w:rsidR="00C107BD" w:rsidRPr="008D717B" w:rsidRDefault="00C107BD" w:rsidP="005B3233">
            <w:pPr>
              <w:spacing w:line="276" w:lineRule="auto"/>
              <w:rPr>
                <w:bCs/>
                <w:color w:val="000000"/>
                <w:sz w:val="20"/>
                <w:szCs w:val="20"/>
              </w:rPr>
            </w:pPr>
            <w:r w:rsidRPr="008D717B">
              <w:rPr>
                <w:color w:val="000000"/>
                <w:sz w:val="20"/>
                <w:szCs w:val="20"/>
              </w:rPr>
              <w:t>Modified structure of template</w:t>
            </w:r>
          </w:p>
        </w:tc>
      </w:tr>
      <w:tr w:rsidR="00C107BD" w:rsidRPr="008D717B" w:rsidTr="005B3233">
        <w:trPr>
          <w:trHeight w:val="264"/>
          <w:jc w:val="center"/>
        </w:trPr>
        <w:tc>
          <w:tcPr>
            <w:tcW w:w="1327" w:type="dxa"/>
          </w:tcPr>
          <w:p w:rsidR="00C107BD" w:rsidRPr="008D717B" w:rsidRDefault="00C107BD" w:rsidP="005B3233">
            <w:pPr>
              <w:spacing w:line="276" w:lineRule="auto"/>
              <w:rPr>
                <w:bCs/>
                <w:color w:val="000000"/>
                <w:sz w:val="20"/>
                <w:szCs w:val="20"/>
              </w:rPr>
            </w:pPr>
            <w:r w:rsidRPr="008D717B">
              <w:rPr>
                <w:color w:val="000000"/>
                <w:sz w:val="20"/>
                <w:szCs w:val="20"/>
              </w:rPr>
              <w:t>1.7</w:t>
            </w:r>
          </w:p>
        </w:tc>
        <w:tc>
          <w:tcPr>
            <w:tcW w:w="1530" w:type="dxa"/>
          </w:tcPr>
          <w:p w:rsidR="00C107BD" w:rsidRPr="008D717B" w:rsidRDefault="00C107BD" w:rsidP="005B3233">
            <w:pPr>
              <w:spacing w:line="276" w:lineRule="auto"/>
              <w:rPr>
                <w:bCs/>
                <w:color w:val="000000"/>
                <w:sz w:val="20"/>
                <w:szCs w:val="20"/>
              </w:rPr>
            </w:pPr>
            <w:r w:rsidRPr="008D717B">
              <w:rPr>
                <w:color w:val="000000"/>
                <w:sz w:val="20"/>
                <w:szCs w:val="20"/>
              </w:rPr>
              <w:t>Dec 2013</w:t>
            </w:r>
          </w:p>
        </w:tc>
        <w:tc>
          <w:tcPr>
            <w:tcW w:w="2070" w:type="dxa"/>
          </w:tcPr>
          <w:p w:rsidR="00C107BD" w:rsidRPr="008D717B" w:rsidRDefault="00C107BD" w:rsidP="005B3233">
            <w:pPr>
              <w:spacing w:line="276" w:lineRule="auto"/>
              <w:rPr>
                <w:bCs/>
                <w:color w:val="000000"/>
                <w:sz w:val="20"/>
                <w:szCs w:val="20"/>
              </w:rPr>
            </w:pPr>
            <w:r w:rsidRPr="008D717B">
              <w:rPr>
                <w:color w:val="000000"/>
                <w:sz w:val="20"/>
                <w:szCs w:val="20"/>
              </w:rPr>
              <w:t>Basavarajappa S</w:t>
            </w:r>
          </w:p>
        </w:tc>
        <w:tc>
          <w:tcPr>
            <w:tcW w:w="1980" w:type="dxa"/>
          </w:tcPr>
          <w:p w:rsidR="00C107BD" w:rsidRPr="008D717B" w:rsidRDefault="00C107BD" w:rsidP="005B3233">
            <w:pPr>
              <w:spacing w:line="276" w:lineRule="auto"/>
              <w:rPr>
                <w:bCs/>
                <w:color w:val="000000"/>
                <w:sz w:val="20"/>
                <w:szCs w:val="20"/>
              </w:rPr>
            </w:pPr>
            <w:r w:rsidRPr="008D717B">
              <w:rPr>
                <w:color w:val="000000"/>
                <w:sz w:val="20"/>
                <w:szCs w:val="20"/>
              </w:rPr>
              <w:t>Sudarshan Raghunath</w:t>
            </w:r>
          </w:p>
        </w:tc>
        <w:tc>
          <w:tcPr>
            <w:tcW w:w="2767" w:type="dxa"/>
          </w:tcPr>
          <w:p w:rsidR="00C107BD" w:rsidRPr="008D717B" w:rsidRDefault="00C107BD" w:rsidP="005B3233">
            <w:pPr>
              <w:spacing w:line="276" w:lineRule="auto"/>
              <w:rPr>
                <w:bCs/>
                <w:color w:val="000000"/>
                <w:sz w:val="20"/>
                <w:szCs w:val="20"/>
              </w:rPr>
            </w:pPr>
            <w:r w:rsidRPr="008D717B">
              <w:rPr>
                <w:color w:val="000000"/>
                <w:sz w:val="20"/>
                <w:szCs w:val="20"/>
              </w:rPr>
              <w:t>Non-Functional Requirement pointers have been added.</w:t>
            </w:r>
          </w:p>
        </w:tc>
      </w:tr>
      <w:tr w:rsidR="00C107BD" w:rsidRPr="008D717B" w:rsidTr="005B3233">
        <w:trPr>
          <w:trHeight w:val="264"/>
          <w:jc w:val="center"/>
        </w:trPr>
        <w:tc>
          <w:tcPr>
            <w:tcW w:w="1327" w:type="dxa"/>
          </w:tcPr>
          <w:p w:rsidR="00C107BD" w:rsidRPr="008D717B" w:rsidRDefault="00C107BD" w:rsidP="005B3233">
            <w:pPr>
              <w:spacing w:line="276" w:lineRule="auto"/>
              <w:rPr>
                <w:bCs/>
                <w:color w:val="000000"/>
                <w:sz w:val="20"/>
                <w:szCs w:val="20"/>
              </w:rPr>
            </w:pPr>
            <w:r w:rsidRPr="008D717B">
              <w:rPr>
                <w:color w:val="000000"/>
                <w:sz w:val="20"/>
                <w:szCs w:val="20"/>
              </w:rPr>
              <w:t>1.8</w:t>
            </w:r>
          </w:p>
        </w:tc>
        <w:tc>
          <w:tcPr>
            <w:tcW w:w="1530" w:type="dxa"/>
          </w:tcPr>
          <w:p w:rsidR="00C107BD" w:rsidRPr="008D717B" w:rsidRDefault="00C107BD" w:rsidP="005B3233">
            <w:pPr>
              <w:spacing w:line="276" w:lineRule="auto"/>
              <w:rPr>
                <w:bCs/>
                <w:color w:val="000000"/>
                <w:sz w:val="20"/>
                <w:szCs w:val="20"/>
              </w:rPr>
            </w:pPr>
            <w:r w:rsidRPr="008D717B">
              <w:rPr>
                <w:color w:val="000000"/>
                <w:sz w:val="20"/>
                <w:szCs w:val="20"/>
              </w:rPr>
              <w:t>Oct 2014</w:t>
            </w:r>
          </w:p>
        </w:tc>
        <w:tc>
          <w:tcPr>
            <w:tcW w:w="2070" w:type="dxa"/>
          </w:tcPr>
          <w:p w:rsidR="00C107BD" w:rsidRPr="008D717B" w:rsidRDefault="00C107BD" w:rsidP="005B3233">
            <w:pPr>
              <w:spacing w:line="276" w:lineRule="auto"/>
              <w:rPr>
                <w:bCs/>
                <w:color w:val="000000"/>
                <w:sz w:val="20"/>
                <w:szCs w:val="20"/>
              </w:rPr>
            </w:pPr>
            <w:r w:rsidRPr="008D717B">
              <w:rPr>
                <w:color w:val="000000"/>
                <w:sz w:val="20"/>
                <w:szCs w:val="20"/>
              </w:rPr>
              <w:t>Aparna Pagadala</w:t>
            </w:r>
          </w:p>
        </w:tc>
        <w:tc>
          <w:tcPr>
            <w:tcW w:w="1980" w:type="dxa"/>
          </w:tcPr>
          <w:p w:rsidR="00C107BD" w:rsidRPr="008D717B" w:rsidRDefault="00C107BD" w:rsidP="005B3233">
            <w:pPr>
              <w:spacing w:line="276" w:lineRule="auto"/>
              <w:rPr>
                <w:bCs/>
                <w:color w:val="000000"/>
                <w:sz w:val="20"/>
                <w:szCs w:val="20"/>
              </w:rPr>
            </w:pPr>
            <w:r w:rsidRPr="008D717B">
              <w:rPr>
                <w:color w:val="000000"/>
                <w:sz w:val="20"/>
                <w:szCs w:val="20"/>
              </w:rPr>
              <w:t>Geetha Das</w:t>
            </w:r>
          </w:p>
        </w:tc>
        <w:tc>
          <w:tcPr>
            <w:tcW w:w="2767" w:type="dxa"/>
          </w:tcPr>
          <w:p w:rsidR="00C107BD" w:rsidRPr="008D717B" w:rsidRDefault="00C107BD" w:rsidP="005B3233">
            <w:pPr>
              <w:spacing w:line="276" w:lineRule="auto"/>
              <w:rPr>
                <w:bCs/>
                <w:color w:val="000000"/>
                <w:sz w:val="20"/>
                <w:szCs w:val="20"/>
              </w:rPr>
            </w:pPr>
            <w:r w:rsidRPr="008D717B">
              <w:rPr>
                <w:color w:val="000000"/>
                <w:sz w:val="20"/>
                <w:szCs w:val="20"/>
              </w:rPr>
              <w:t>Changed the title of the document as Business Requirement Specification</w:t>
            </w:r>
          </w:p>
        </w:tc>
      </w:tr>
      <w:tr w:rsidR="00C107BD" w:rsidRPr="008D717B" w:rsidTr="005B3233">
        <w:trPr>
          <w:trHeight w:val="65"/>
          <w:jc w:val="center"/>
        </w:trPr>
        <w:tc>
          <w:tcPr>
            <w:tcW w:w="1327" w:type="dxa"/>
          </w:tcPr>
          <w:p w:rsidR="00C107BD" w:rsidRPr="008D717B" w:rsidRDefault="00C107BD" w:rsidP="005B3233">
            <w:pPr>
              <w:spacing w:line="276" w:lineRule="auto"/>
              <w:rPr>
                <w:bCs/>
                <w:color w:val="000000"/>
                <w:sz w:val="20"/>
                <w:szCs w:val="20"/>
              </w:rPr>
            </w:pPr>
            <w:r w:rsidRPr="008D717B">
              <w:rPr>
                <w:color w:val="000000"/>
                <w:sz w:val="20"/>
                <w:szCs w:val="20"/>
              </w:rPr>
              <w:t>1.9</w:t>
            </w:r>
          </w:p>
        </w:tc>
        <w:tc>
          <w:tcPr>
            <w:tcW w:w="1530" w:type="dxa"/>
          </w:tcPr>
          <w:p w:rsidR="00C107BD" w:rsidRPr="008D717B" w:rsidRDefault="00C107BD" w:rsidP="005B3233">
            <w:pPr>
              <w:spacing w:line="276" w:lineRule="auto"/>
              <w:rPr>
                <w:bCs/>
                <w:color w:val="000000"/>
                <w:sz w:val="20"/>
                <w:szCs w:val="20"/>
              </w:rPr>
            </w:pPr>
            <w:r w:rsidRPr="008D717B">
              <w:rPr>
                <w:color w:val="000000"/>
                <w:sz w:val="20"/>
                <w:szCs w:val="20"/>
              </w:rPr>
              <w:t>Oct 2015</w:t>
            </w:r>
          </w:p>
        </w:tc>
        <w:tc>
          <w:tcPr>
            <w:tcW w:w="2070" w:type="dxa"/>
          </w:tcPr>
          <w:p w:rsidR="00C107BD" w:rsidRPr="008D717B" w:rsidRDefault="00C107BD" w:rsidP="005B3233">
            <w:pPr>
              <w:spacing w:line="276" w:lineRule="auto"/>
              <w:rPr>
                <w:bCs/>
                <w:color w:val="000000"/>
                <w:sz w:val="20"/>
                <w:szCs w:val="20"/>
              </w:rPr>
            </w:pPr>
            <w:r w:rsidRPr="008D717B">
              <w:rPr>
                <w:color w:val="000000"/>
                <w:sz w:val="20"/>
                <w:szCs w:val="20"/>
              </w:rPr>
              <w:t>Aparna Pagadala</w:t>
            </w:r>
          </w:p>
        </w:tc>
        <w:tc>
          <w:tcPr>
            <w:tcW w:w="1980" w:type="dxa"/>
          </w:tcPr>
          <w:p w:rsidR="00C107BD" w:rsidRPr="008D717B" w:rsidRDefault="00C107BD" w:rsidP="005B3233">
            <w:pPr>
              <w:spacing w:line="276" w:lineRule="auto"/>
              <w:rPr>
                <w:bCs/>
                <w:color w:val="000000"/>
                <w:sz w:val="20"/>
                <w:szCs w:val="20"/>
              </w:rPr>
            </w:pPr>
            <w:r w:rsidRPr="008D717B">
              <w:rPr>
                <w:color w:val="000000"/>
                <w:sz w:val="20"/>
                <w:szCs w:val="20"/>
              </w:rPr>
              <w:t>Geetha Das</w:t>
            </w:r>
          </w:p>
        </w:tc>
        <w:tc>
          <w:tcPr>
            <w:tcW w:w="2767" w:type="dxa"/>
          </w:tcPr>
          <w:p w:rsidR="00C107BD" w:rsidRPr="008D717B" w:rsidRDefault="00C107BD" w:rsidP="005B3233">
            <w:pPr>
              <w:spacing w:line="276" w:lineRule="auto"/>
              <w:rPr>
                <w:bCs/>
                <w:color w:val="000000"/>
                <w:sz w:val="20"/>
                <w:szCs w:val="20"/>
              </w:rPr>
            </w:pPr>
            <w:r w:rsidRPr="008D717B">
              <w:rPr>
                <w:color w:val="000000"/>
                <w:sz w:val="20"/>
                <w:szCs w:val="20"/>
              </w:rPr>
              <w:t>Introduced business case sections. Elaborated backup and recovery sections. Replaced the copyright Notice shared by legal team</w:t>
            </w:r>
          </w:p>
        </w:tc>
      </w:tr>
      <w:tr w:rsidR="00C107BD" w:rsidRPr="008D717B" w:rsidTr="005B3233">
        <w:trPr>
          <w:trHeight w:val="65"/>
          <w:jc w:val="center"/>
        </w:trPr>
        <w:tc>
          <w:tcPr>
            <w:tcW w:w="1327" w:type="dxa"/>
          </w:tcPr>
          <w:p w:rsidR="00C107BD" w:rsidRPr="008D717B" w:rsidRDefault="00C107BD" w:rsidP="005B3233">
            <w:pPr>
              <w:spacing w:line="276" w:lineRule="auto"/>
              <w:rPr>
                <w:bCs/>
                <w:color w:val="000000"/>
                <w:sz w:val="20"/>
                <w:szCs w:val="20"/>
              </w:rPr>
            </w:pPr>
            <w:r w:rsidRPr="008D717B">
              <w:rPr>
                <w:color w:val="000000"/>
                <w:sz w:val="20"/>
                <w:szCs w:val="20"/>
              </w:rPr>
              <w:t>2.0</w:t>
            </w:r>
          </w:p>
        </w:tc>
        <w:tc>
          <w:tcPr>
            <w:tcW w:w="1530" w:type="dxa"/>
          </w:tcPr>
          <w:p w:rsidR="00C107BD" w:rsidRPr="008D717B" w:rsidRDefault="00C107BD" w:rsidP="005B3233">
            <w:pPr>
              <w:spacing w:line="276" w:lineRule="auto"/>
              <w:rPr>
                <w:bCs/>
                <w:color w:val="000000"/>
                <w:sz w:val="20"/>
                <w:szCs w:val="20"/>
              </w:rPr>
            </w:pPr>
            <w:r w:rsidRPr="008D717B">
              <w:rPr>
                <w:color w:val="000000"/>
                <w:sz w:val="20"/>
                <w:szCs w:val="20"/>
              </w:rPr>
              <w:t>Dec 2016</w:t>
            </w:r>
          </w:p>
        </w:tc>
        <w:tc>
          <w:tcPr>
            <w:tcW w:w="2070" w:type="dxa"/>
          </w:tcPr>
          <w:p w:rsidR="00C107BD" w:rsidRPr="008D717B" w:rsidRDefault="00C107BD" w:rsidP="005B3233">
            <w:pPr>
              <w:spacing w:line="276" w:lineRule="auto"/>
              <w:rPr>
                <w:bCs/>
                <w:color w:val="000000"/>
                <w:sz w:val="20"/>
                <w:szCs w:val="20"/>
              </w:rPr>
            </w:pPr>
            <w:r w:rsidRPr="008D717B">
              <w:rPr>
                <w:color w:val="000000"/>
                <w:sz w:val="20"/>
                <w:szCs w:val="20"/>
              </w:rPr>
              <w:t>Aparna Pagadala</w:t>
            </w:r>
          </w:p>
        </w:tc>
        <w:tc>
          <w:tcPr>
            <w:tcW w:w="1980" w:type="dxa"/>
          </w:tcPr>
          <w:p w:rsidR="00C107BD" w:rsidRPr="008D717B" w:rsidRDefault="00C107BD" w:rsidP="005B3233">
            <w:pPr>
              <w:spacing w:line="276" w:lineRule="auto"/>
              <w:rPr>
                <w:bCs/>
                <w:color w:val="000000"/>
                <w:sz w:val="20"/>
                <w:szCs w:val="20"/>
              </w:rPr>
            </w:pPr>
            <w:r w:rsidRPr="008D717B">
              <w:rPr>
                <w:color w:val="000000"/>
                <w:sz w:val="20"/>
                <w:szCs w:val="20"/>
              </w:rPr>
              <w:t>Geetha Das</w:t>
            </w:r>
          </w:p>
        </w:tc>
        <w:tc>
          <w:tcPr>
            <w:tcW w:w="2767" w:type="dxa"/>
          </w:tcPr>
          <w:p w:rsidR="00C107BD" w:rsidRPr="008D717B" w:rsidRDefault="00C107BD" w:rsidP="005B3233">
            <w:pPr>
              <w:spacing w:line="276" w:lineRule="auto"/>
              <w:rPr>
                <w:bCs/>
                <w:color w:val="000000"/>
                <w:sz w:val="20"/>
                <w:szCs w:val="20"/>
              </w:rPr>
            </w:pPr>
            <w:r w:rsidRPr="008D717B">
              <w:rPr>
                <w:sz w:val="20"/>
                <w:szCs w:val="20"/>
              </w:rPr>
              <w:t>Aligned the process as per ISO 9001:2015 requirement, Included Scope changes section</w:t>
            </w:r>
          </w:p>
        </w:tc>
      </w:tr>
      <w:tr w:rsidR="00C107BD" w:rsidRPr="008D717B" w:rsidTr="005B3233">
        <w:trPr>
          <w:trHeight w:val="65"/>
          <w:jc w:val="center"/>
        </w:trPr>
        <w:tc>
          <w:tcPr>
            <w:tcW w:w="1327" w:type="dxa"/>
          </w:tcPr>
          <w:p w:rsidR="00C107BD" w:rsidRPr="008D717B" w:rsidRDefault="00C107BD" w:rsidP="005B3233">
            <w:pPr>
              <w:spacing w:line="276" w:lineRule="auto"/>
              <w:rPr>
                <w:bCs/>
                <w:color w:val="000000"/>
                <w:sz w:val="20"/>
                <w:szCs w:val="20"/>
              </w:rPr>
            </w:pPr>
            <w:r w:rsidRPr="008D717B">
              <w:rPr>
                <w:color w:val="000000"/>
                <w:sz w:val="20"/>
                <w:szCs w:val="20"/>
              </w:rPr>
              <w:t>2.1</w:t>
            </w:r>
          </w:p>
        </w:tc>
        <w:tc>
          <w:tcPr>
            <w:tcW w:w="1530" w:type="dxa"/>
          </w:tcPr>
          <w:p w:rsidR="00C107BD" w:rsidRPr="008D717B" w:rsidRDefault="00C107BD" w:rsidP="005B3233">
            <w:pPr>
              <w:spacing w:line="276" w:lineRule="auto"/>
              <w:rPr>
                <w:bCs/>
                <w:color w:val="000000"/>
                <w:sz w:val="20"/>
                <w:szCs w:val="20"/>
              </w:rPr>
            </w:pPr>
            <w:r w:rsidRPr="008D717B">
              <w:rPr>
                <w:color w:val="000000"/>
                <w:sz w:val="20"/>
                <w:szCs w:val="20"/>
              </w:rPr>
              <w:t>Dec 2017</w:t>
            </w:r>
          </w:p>
        </w:tc>
        <w:tc>
          <w:tcPr>
            <w:tcW w:w="2070" w:type="dxa"/>
          </w:tcPr>
          <w:p w:rsidR="00C107BD" w:rsidRPr="008D717B" w:rsidRDefault="00C107BD" w:rsidP="005B3233">
            <w:pPr>
              <w:spacing w:line="276" w:lineRule="auto"/>
              <w:rPr>
                <w:bCs/>
                <w:color w:val="000000"/>
                <w:sz w:val="20"/>
                <w:szCs w:val="20"/>
              </w:rPr>
            </w:pPr>
            <w:r w:rsidRPr="008D717B">
              <w:rPr>
                <w:color w:val="000000"/>
                <w:sz w:val="20"/>
                <w:szCs w:val="20"/>
              </w:rPr>
              <w:t>Lavanya P</w:t>
            </w:r>
          </w:p>
        </w:tc>
        <w:tc>
          <w:tcPr>
            <w:tcW w:w="1980" w:type="dxa"/>
          </w:tcPr>
          <w:p w:rsidR="00C107BD" w:rsidRPr="008D717B" w:rsidRDefault="00C107BD" w:rsidP="005B3233">
            <w:pPr>
              <w:spacing w:line="276" w:lineRule="auto"/>
              <w:rPr>
                <w:bCs/>
                <w:color w:val="000000"/>
                <w:sz w:val="20"/>
                <w:szCs w:val="20"/>
              </w:rPr>
            </w:pPr>
            <w:r w:rsidRPr="008D717B">
              <w:rPr>
                <w:color w:val="000000"/>
                <w:sz w:val="20"/>
                <w:szCs w:val="20"/>
              </w:rPr>
              <w:t>Geetha Das</w:t>
            </w:r>
          </w:p>
        </w:tc>
        <w:tc>
          <w:tcPr>
            <w:tcW w:w="2767" w:type="dxa"/>
          </w:tcPr>
          <w:p w:rsidR="00C107BD" w:rsidRPr="008D717B" w:rsidRDefault="00C107BD" w:rsidP="00C107BD">
            <w:pPr>
              <w:pStyle w:val="ListParagraph"/>
              <w:numPr>
                <w:ilvl w:val="0"/>
                <w:numId w:val="4"/>
              </w:numPr>
              <w:spacing w:line="276" w:lineRule="auto"/>
              <w:ind w:left="256" w:hanging="256"/>
              <w:contextualSpacing w:val="0"/>
              <w:rPr>
                <w:sz w:val="20"/>
                <w:szCs w:val="20"/>
              </w:rPr>
            </w:pPr>
            <w:r w:rsidRPr="008D717B">
              <w:rPr>
                <w:sz w:val="20"/>
                <w:szCs w:val="20"/>
              </w:rPr>
              <w:t>Combined the PS &amp; RPA templates</w:t>
            </w:r>
          </w:p>
          <w:p w:rsidR="00C107BD" w:rsidRPr="008D717B" w:rsidRDefault="00C107BD" w:rsidP="00C107BD">
            <w:pPr>
              <w:pStyle w:val="ListParagraph"/>
              <w:numPr>
                <w:ilvl w:val="0"/>
                <w:numId w:val="4"/>
              </w:numPr>
              <w:spacing w:line="276" w:lineRule="auto"/>
              <w:ind w:left="256" w:hanging="256"/>
              <w:contextualSpacing w:val="0"/>
              <w:rPr>
                <w:bCs/>
                <w:sz w:val="20"/>
                <w:szCs w:val="20"/>
              </w:rPr>
            </w:pPr>
            <w:r w:rsidRPr="008D717B">
              <w:rPr>
                <w:bCs/>
                <w:sz w:val="20"/>
                <w:szCs w:val="20"/>
              </w:rPr>
              <w:t>Added a place holder to capture the CR addendums, contractual commitments, encryption &amp; GDPR details in BRD</w:t>
            </w:r>
          </w:p>
        </w:tc>
      </w:tr>
    </w:tbl>
    <w:p w:rsidR="00C107BD" w:rsidRPr="00950204" w:rsidRDefault="00C107BD" w:rsidP="00C107BD">
      <w:pPr>
        <w:jc w:val="both"/>
        <w:rPr>
          <w:rFonts w:ascii="Calibri" w:hAnsi="Calibri" w:cs="Arial"/>
        </w:rPr>
      </w:pPr>
    </w:p>
    <w:p w:rsidR="00910732" w:rsidRDefault="00910732">
      <w:bookmarkStart w:id="25" w:name="_GoBack"/>
      <w:bookmarkEnd w:id="25"/>
    </w:p>
    <w:sectPr w:rsidR="00910732" w:rsidSect="00C107BD">
      <w:headerReference w:type="default" r:id="rId9"/>
      <w:footerReference w:type="default" r:id="rId10"/>
      <w:pgSz w:w="12240" w:h="15840" w:code="1"/>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7BD" w:rsidRDefault="00C107BD" w:rsidP="00C107BD">
      <w:r>
        <w:separator/>
      </w:r>
    </w:p>
  </w:endnote>
  <w:endnote w:type="continuationSeparator" w:id="0">
    <w:p w:rsidR="00C107BD" w:rsidRDefault="00C107BD" w:rsidP="00C10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6E5" w:rsidRPr="00892D7C" w:rsidRDefault="00C107BD" w:rsidP="008A6E0D">
    <w:pPr>
      <w:pStyle w:val="Header"/>
      <w:rPr>
        <w:noProof/>
      </w:rPr>
    </w:pPr>
    <w:r>
      <w:rPr>
        <w:noProof/>
      </w:rPr>
      <mc:AlternateContent>
        <mc:Choice Requires="wps">
          <w:drawing>
            <wp:anchor distT="4294967293" distB="4294967293" distL="114300" distR="114300" simplePos="0" relativeHeight="251660288" behindDoc="0" locked="0" layoutInCell="1" allowOverlap="1" wp14:anchorId="133FB3C8" wp14:editId="0DE0BDDA">
              <wp:simplePos x="0" y="0"/>
              <wp:positionH relativeFrom="column">
                <wp:posOffset>0</wp:posOffset>
              </wp:positionH>
              <wp:positionV relativeFrom="paragraph">
                <wp:posOffset>-36196</wp:posOffset>
              </wp:positionV>
              <wp:extent cx="6400800" cy="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AE562" id="Line 4"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85pt" to="7in,-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ir2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"/>
          </w:pict>
        </mc:Fallback>
      </mc:AlternateContent>
    </w:r>
    <w:r w:rsidRPr="008D717B">
      <w:rPr>
        <w:szCs w:val="16"/>
        <w:lang w:val="nl-BE"/>
      </w:rPr>
      <w:t xml:space="preserve"> </w:t>
    </w:r>
    <w:r w:rsidRPr="008D717B">
      <w:rPr>
        <w:sz w:val="20"/>
        <w:szCs w:val="16"/>
        <w:lang w:val="nl-BE"/>
      </w:rPr>
      <w:t>MNGINF/TSG/TMPL/5410</w:t>
    </w:r>
    <w:r>
      <w:rPr>
        <w:sz w:val="20"/>
        <w:szCs w:val="16"/>
        <w:lang w:val="nl-BE"/>
      </w:rPr>
      <w:t xml:space="preserve">                               </w:t>
    </w:r>
    <w:r w:rsidRPr="008D717B">
      <w:rPr>
        <w:sz w:val="20"/>
      </w:rPr>
      <w:t>Versi</w:t>
    </w:r>
    <w:r>
      <w:rPr>
        <w:sz w:val="20"/>
      </w:rPr>
      <w:t xml:space="preserve">on 2.1    Company Internal                      </w:t>
    </w:r>
    <w:r w:rsidRPr="008D717B">
      <w:rPr>
        <w:sz w:val="20"/>
      </w:rPr>
      <w:t>Copy if Printed</w:t>
    </w:r>
    <w:r>
      <w:rPr>
        <w:sz w:val="20"/>
      </w:rPr>
      <w:t xml:space="preserve">  </w:t>
    </w:r>
    <w:r w:rsidRPr="008D717B">
      <w:rPr>
        <w:sz w:val="20"/>
      </w:rPr>
      <w:tab/>
    </w:r>
    <w:r>
      <w:rPr>
        <w:rFonts w:ascii="Calibri" w:hAnsi="Calibri" w:cs="Calibri"/>
        <w:sz w:val="18"/>
        <w:szCs w:val="22"/>
      </w:rPr>
      <w:t xml:space="preserve">             </w:t>
    </w:r>
    <w:r w:rsidRPr="008D717B">
      <w:rPr>
        <w:rFonts w:ascii="Calibri" w:hAnsi="Calibri" w:cs="Calibri"/>
        <w:sz w:val="18"/>
        <w:szCs w:val="22"/>
      </w:rPr>
      <w:t xml:space="preserve"> </w:t>
    </w:r>
    <w:r w:rsidRPr="008D717B">
      <w:rPr>
        <w:rFonts w:ascii="Calibri" w:hAnsi="Calibri" w:cs="Calibri"/>
        <w:sz w:val="18"/>
        <w:szCs w:val="22"/>
      </w:rPr>
      <w:fldChar w:fldCharType="begin"/>
    </w:r>
    <w:r w:rsidRPr="008D717B">
      <w:rPr>
        <w:rFonts w:ascii="Calibri" w:hAnsi="Calibri" w:cs="Calibri"/>
        <w:sz w:val="18"/>
        <w:szCs w:val="22"/>
      </w:rPr>
      <w:instrText xml:space="preserve"> PAGE </w:instrText>
    </w:r>
    <w:r w:rsidRPr="008D717B">
      <w:rPr>
        <w:rFonts w:ascii="Calibri" w:hAnsi="Calibri" w:cs="Calibri"/>
        <w:sz w:val="18"/>
        <w:szCs w:val="22"/>
      </w:rPr>
      <w:fldChar w:fldCharType="separate"/>
    </w:r>
    <w:r>
      <w:rPr>
        <w:rFonts w:ascii="Calibri" w:hAnsi="Calibri" w:cs="Calibri"/>
        <w:noProof/>
        <w:sz w:val="18"/>
        <w:szCs w:val="22"/>
      </w:rPr>
      <w:t>1</w:t>
    </w:r>
    <w:r w:rsidRPr="008D717B">
      <w:rPr>
        <w:rFonts w:ascii="Calibri" w:hAnsi="Calibri" w:cs="Calibri"/>
        <w:sz w:val="18"/>
        <w:szCs w:val="22"/>
      </w:rPr>
      <w:fldChar w:fldCharType="end"/>
    </w:r>
    <w:r w:rsidRPr="008D717B">
      <w:rPr>
        <w:rFonts w:ascii="Calibri" w:hAnsi="Calibri" w:cs="Calibri"/>
        <w:sz w:val="18"/>
        <w:szCs w:val="22"/>
      </w:rPr>
      <w:t xml:space="preserve"> of </w:t>
    </w:r>
    <w:r w:rsidRPr="008D717B">
      <w:rPr>
        <w:rFonts w:ascii="Calibri" w:hAnsi="Calibri" w:cs="Calibri"/>
        <w:sz w:val="18"/>
        <w:szCs w:val="22"/>
      </w:rPr>
      <w:fldChar w:fldCharType="begin"/>
    </w:r>
    <w:r w:rsidRPr="008D717B">
      <w:rPr>
        <w:rFonts w:ascii="Calibri" w:hAnsi="Calibri" w:cs="Calibri"/>
        <w:sz w:val="18"/>
        <w:szCs w:val="22"/>
      </w:rPr>
      <w:instrText xml:space="preserve"> NUMPAGES </w:instrText>
    </w:r>
    <w:r w:rsidRPr="008D717B">
      <w:rPr>
        <w:rFonts w:ascii="Calibri" w:hAnsi="Calibri" w:cs="Calibri"/>
        <w:sz w:val="18"/>
        <w:szCs w:val="22"/>
      </w:rPr>
      <w:fldChar w:fldCharType="separate"/>
    </w:r>
    <w:r>
      <w:rPr>
        <w:rFonts w:ascii="Calibri" w:hAnsi="Calibri" w:cs="Calibri"/>
        <w:noProof/>
        <w:sz w:val="18"/>
        <w:szCs w:val="22"/>
      </w:rPr>
      <w:t>5</w:t>
    </w:r>
    <w:r w:rsidRPr="008D717B">
      <w:rPr>
        <w:rFonts w:ascii="Calibri" w:hAnsi="Calibri" w:cs="Calibri"/>
        <w:sz w:val="18"/>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7BD" w:rsidRDefault="00C107BD" w:rsidP="00C107BD">
      <w:r>
        <w:separator/>
      </w:r>
    </w:p>
  </w:footnote>
  <w:footnote w:type="continuationSeparator" w:id="0">
    <w:p w:rsidR="00C107BD" w:rsidRDefault="00C107BD" w:rsidP="00C10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6E5" w:rsidRDefault="00C107BD">
    <w:pPr>
      <w:pStyle w:val="Header"/>
    </w:pPr>
    <w:r>
      <w:t xml:space="preserve">Infosys BPM                                                                                  </w:t>
    </w:r>
    <w:r>
      <w:t xml:space="preserve">                      Requirement Specification</w:t>
    </w:r>
  </w:p>
  <w:p w:rsidR="00ED66E5" w:rsidRDefault="00C107BD">
    <w:pPr>
      <w:pStyle w:val="Header"/>
    </w:pPr>
    <w:r>
      <w:rPr>
        <w:noProof/>
      </w:rPr>
      <mc:AlternateContent>
        <mc:Choice Requires="wps">
          <w:drawing>
            <wp:anchor distT="0" distB="0" distL="114300" distR="114300" simplePos="0" relativeHeight="251659264" behindDoc="0" locked="0" layoutInCell="0" allowOverlap="1" wp14:anchorId="7FBBA934" wp14:editId="5D5719D6">
              <wp:simplePos x="0" y="0"/>
              <wp:positionH relativeFrom="margin">
                <wp:posOffset>0</wp:posOffset>
              </wp:positionH>
              <wp:positionV relativeFrom="page">
                <wp:posOffset>1457960</wp:posOffset>
              </wp:positionV>
              <wp:extent cx="6324600" cy="313690"/>
              <wp:effectExtent l="0" t="0" r="0" b="1016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66E5" w:rsidRPr="00083E17" w:rsidRDefault="00C107BD" w:rsidP="00083E17"/>
                      </w:txbxContent>
                    </wps:txbx>
                    <wps:bodyPr rot="0" vert="horz" wrap="square" lIns="9144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BA934" id="_x0000_t202" coordsize="21600,21600" o:spt="202" path="m,l,21600r21600,l21600,xe">
              <v:stroke joinstyle="miter"/>
              <v:path gradientshapeok="t" o:connecttype="rect"/>
            </v:shapetype>
            <v:shape id="Text Box 1" o:spid="_x0000_s1026" type="#_x0000_t202" style="position:absolute;margin-left:0;margin-top:114.8pt;width:498pt;height:24.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" o:allowincell="f" filled="f" stroked="f">
              <v:textbox inset=",0,,0">
                <w:txbxContent>
                  <w:p w:rsidR="00ED66E5" w:rsidRPr="00083E17" w:rsidRDefault="00C107BD" w:rsidP="00083E17"/>
                </w:txbxContent>
              </v:textbox>
              <w10:wrap anchorx="margin" anchory="page"/>
            </v:shape>
          </w:pict>
        </mc:Fallback>
      </mc:AlternateContent>
    </w:r>
    <w:r>
      <w:rPr>
        <w:noProof/>
      </w:rPr>
      <mc:AlternateContent>
        <mc:Choice Requires="wps">
          <w:drawing>
            <wp:anchor distT="4294967293" distB="4294967293" distL="114300" distR="114300" simplePos="0" relativeHeight="251661312" behindDoc="0" locked="0" layoutInCell="1" allowOverlap="1" wp14:anchorId="718720F3" wp14:editId="6807EDEE">
              <wp:simplePos x="0" y="0"/>
              <wp:positionH relativeFrom="column">
                <wp:posOffset>0</wp:posOffset>
              </wp:positionH>
              <wp:positionV relativeFrom="paragraph">
                <wp:posOffset>82549</wp:posOffset>
              </wp:positionV>
              <wp:extent cx="6400800" cy="0"/>
              <wp:effectExtent l="0" t="0" r="1905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DC99B" id="Line 3"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6.5pt" to="7in,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sZd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NZnqbzF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F14C6"/>
    <w:multiLevelType w:val="hybridMultilevel"/>
    <w:tmpl w:val="4358D2FC"/>
    <w:lvl w:ilvl="0" w:tplc="9ECA1306">
      <w:start w:val="1"/>
      <w:numFmt w:val="bullet"/>
      <w:lvlText w:val=""/>
      <w:lvlJc w:val="left"/>
      <w:pPr>
        <w:tabs>
          <w:tab w:val="num" w:pos="720"/>
        </w:tabs>
        <w:ind w:left="720" w:hanging="360"/>
      </w:pPr>
      <w:rPr>
        <w:rFonts w:ascii="Wingdings" w:hAnsi="Wingdings" w:hint="default"/>
      </w:rPr>
    </w:lvl>
    <w:lvl w:ilvl="1" w:tplc="0FB63F88" w:tentative="1">
      <w:start w:val="1"/>
      <w:numFmt w:val="bullet"/>
      <w:lvlText w:val=""/>
      <w:lvlJc w:val="left"/>
      <w:pPr>
        <w:tabs>
          <w:tab w:val="num" w:pos="1440"/>
        </w:tabs>
        <w:ind w:left="1440" w:hanging="360"/>
      </w:pPr>
      <w:rPr>
        <w:rFonts w:ascii="Wingdings" w:hAnsi="Wingdings" w:hint="default"/>
      </w:rPr>
    </w:lvl>
    <w:lvl w:ilvl="2" w:tplc="AA448D0A" w:tentative="1">
      <w:start w:val="1"/>
      <w:numFmt w:val="bullet"/>
      <w:lvlText w:val=""/>
      <w:lvlJc w:val="left"/>
      <w:pPr>
        <w:tabs>
          <w:tab w:val="num" w:pos="2160"/>
        </w:tabs>
        <w:ind w:left="2160" w:hanging="360"/>
      </w:pPr>
      <w:rPr>
        <w:rFonts w:ascii="Wingdings" w:hAnsi="Wingdings" w:hint="default"/>
      </w:rPr>
    </w:lvl>
    <w:lvl w:ilvl="3" w:tplc="396C738A" w:tentative="1">
      <w:start w:val="1"/>
      <w:numFmt w:val="bullet"/>
      <w:lvlText w:val=""/>
      <w:lvlJc w:val="left"/>
      <w:pPr>
        <w:tabs>
          <w:tab w:val="num" w:pos="2880"/>
        </w:tabs>
        <w:ind w:left="2880" w:hanging="360"/>
      </w:pPr>
      <w:rPr>
        <w:rFonts w:ascii="Wingdings" w:hAnsi="Wingdings" w:hint="default"/>
      </w:rPr>
    </w:lvl>
    <w:lvl w:ilvl="4" w:tplc="CEFAC784" w:tentative="1">
      <w:start w:val="1"/>
      <w:numFmt w:val="bullet"/>
      <w:lvlText w:val=""/>
      <w:lvlJc w:val="left"/>
      <w:pPr>
        <w:tabs>
          <w:tab w:val="num" w:pos="3600"/>
        </w:tabs>
        <w:ind w:left="3600" w:hanging="360"/>
      </w:pPr>
      <w:rPr>
        <w:rFonts w:ascii="Wingdings" w:hAnsi="Wingdings" w:hint="default"/>
      </w:rPr>
    </w:lvl>
    <w:lvl w:ilvl="5" w:tplc="D08AED24" w:tentative="1">
      <w:start w:val="1"/>
      <w:numFmt w:val="bullet"/>
      <w:lvlText w:val=""/>
      <w:lvlJc w:val="left"/>
      <w:pPr>
        <w:tabs>
          <w:tab w:val="num" w:pos="4320"/>
        </w:tabs>
        <w:ind w:left="4320" w:hanging="360"/>
      </w:pPr>
      <w:rPr>
        <w:rFonts w:ascii="Wingdings" w:hAnsi="Wingdings" w:hint="default"/>
      </w:rPr>
    </w:lvl>
    <w:lvl w:ilvl="6" w:tplc="2BA4890C" w:tentative="1">
      <w:start w:val="1"/>
      <w:numFmt w:val="bullet"/>
      <w:lvlText w:val=""/>
      <w:lvlJc w:val="left"/>
      <w:pPr>
        <w:tabs>
          <w:tab w:val="num" w:pos="5040"/>
        </w:tabs>
        <w:ind w:left="5040" w:hanging="360"/>
      </w:pPr>
      <w:rPr>
        <w:rFonts w:ascii="Wingdings" w:hAnsi="Wingdings" w:hint="default"/>
      </w:rPr>
    </w:lvl>
    <w:lvl w:ilvl="7" w:tplc="2C6817EE" w:tentative="1">
      <w:start w:val="1"/>
      <w:numFmt w:val="bullet"/>
      <w:lvlText w:val=""/>
      <w:lvlJc w:val="left"/>
      <w:pPr>
        <w:tabs>
          <w:tab w:val="num" w:pos="5760"/>
        </w:tabs>
        <w:ind w:left="5760" w:hanging="360"/>
      </w:pPr>
      <w:rPr>
        <w:rFonts w:ascii="Wingdings" w:hAnsi="Wingdings" w:hint="default"/>
      </w:rPr>
    </w:lvl>
    <w:lvl w:ilvl="8" w:tplc="568A588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033876"/>
    <w:multiLevelType w:val="hybridMultilevel"/>
    <w:tmpl w:val="46ACBC8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13F5A90"/>
    <w:multiLevelType w:val="hybridMultilevel"/>
    <w:tmpl w:val="D4B2377A"/>
    <w:lvl w:ilvl="0" w:tplc="9214B650">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2D51ED"/>
    <w:multiLevelType w:val="multilevel"/>
    <w:tmpl w:val="E200C2DA"/>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900" w:hanging="720"/>
      </w:pPr>
      <w:rPr>
        <w:rFonts w:cs="Times New Roman" w:hint="default"/>
        <w:b/>
        <w:sz w:val="24"/>
        <w:szCs w:val="24"/>
      </w:rPr>
    </w:lvl>
    <w:lvl w:ilvl="3">
      <w:start w:val="1"/>
      <w:numFmt w:val="decimal"/>
      <w:pStyle w:val="Heading4"/>
      <w:lvlText w:val="%1.%2.%3"/>
      <w:lvlJc w:val="left"/>
      <w:pPr>
        <w:ind w:left="1764" w:hanging="864"/>
      </w:pPr>
      <w:rPr>
        <w:rFonts w:cs="Times New Roman" w:hint="default"/>
        <w:b/>
        <w:bCs w:val="0"/>
        <w:i w:val="0"/>
        <w:iCs w:val="0"/>
        <w:caps w:val="0"/>
        <w:smallCaps w:val="0"/>
        <w:strike w:val="0"/>
        <w:dstrike w:val="0"/>
        <w:vanish w:val="0"/>
        <w:color w:val="5B9BD5" w:themeColor="accent1"/>
        <w:spacing w:val="0"/>
        <w:kern w:val="0"/>
        <w:position w:val="0"/>
        <w:u w:val="none"/>
        <w:effect w:val="none"/>
        <w:vertAlign w:val="baseline"/>
      </w:rPr>
    </w:lvl>
    <w:lvl w:ilvl="4">
      <w:start w:val="1"/>
      <w:numFmt w:val="decimal"/>
      <w:pStyle w:val="Heading5"/>
      <w:lvlText w:val="%1.%2.%3.%4.%5"/>
      <w:lvlJc w:val="left"/>
      <w:pPr>
        <w:ind w:left="1728" w:hanging="1008"/>
      </w:pPr>
      <w:rPr>
        <w:rFonts w:cs="Times New Roman" w:hint="default"/>
        <w:b w:val="0"/>
      </w:rPr>
    </w:lvl>
    <w:lvl w:ilvl="5">
      <w:start w:val="1"/>
      <w:numFmt w:val="decimal"/>
      <w:pStyle w:val="Heading6"/>
      <w:lvlText w:val="%1.%2.%3.%4.%5.%6"/>
      <w:lvlJc w:val="left"/>
      <w:pPr>
        <w:ind w:left="1512" w:hanging="1152"/>
      </w:pPr>
      <w:rPr>
        <w:rFonts w:cs="Times New Roman" w:hint="default"/>
        <w:b w:val="0"/>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BD"/>
    <w:rsid w:val="00910732"/>
    <w:rsid w:val="00C1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CBF74D5-60B5-4F0C-8E93-C1AF37FE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7BD"/>
    <w:pPr>
      <w:spacing w:after="0" w:line="240" w:lineRule="auto"/>
    </w:pPr>
    <w:rPr>
      <w:rFonts w:ascii="Times New Roman" w:eastAsia="Times New Roman" w:hAnsi="Times New Roman" w:cs="Times New Roman"/>
      <w:sz w:val="24"/>
      <w:szCs w:val="24"/>
    </w:rPr>
  </w:style>
  <w:style w:type="paragraph" w:styleId="Heading1">
    <w:name w:val="heading 1"/>
    <w:aliases w:val="H1"/>
    <w:basedOn w:val="Normal"/>
    <w:next w:val="Normal"/>
    <w:link w:val="Heading1Char"/>
    <w:uiPriority w:val="99"/>
    <w:qFormat/>
    <w:rsid w:val="00C107BD"/>
    <w:pPr>
      <w:keepNext/>
      <w:keepLines/>
      <w:numPr>
        <w:numId w:val="1"/>
      </w:numPr>
      <w:outlineLvl w:val="0"/>
    </w:pPr>
    <w:rPr>
      <w:rFonts w:ascii="Calibri" w:hAnsi="Calibri"/>
      <w:b/>
      <w:bCs/>
      <w:color w:val="365F91"/>
      <w:sz w:val="32"/>
      <w:szCs w:val="28"/>
    </w:rPr>
  </w:style>
  <w:style w:type="paragraph" w:styleId="Heading2">
    <w:name w:val="heading 2"/>
    <w:aliases w:val="H2,HD2,Heading 2 Hidden,Heading 2 Char2 Char,Heading 2 Char Char1 Char,Heading 2 Char2 Char Char Char,Heading 2 Char1 Char Char Char Char,Heading 2 Char Char Char Char Char Char,Heading 2 Char Char1 Char Char Char"/>
    <w:basedOn w:val="Normal"/>
    <w:next w:val="Normal"/>
    <w:link w:val="Heading2Char"/>
    <w:uiPriority w:val="99"/>
    <w:qFormat/>
    <w:rsid w:val="00C107BD"/>
    <w:pPr>
      <w:keepNext/>
      <w:keepLines/>
      <w:numPr>
        <w:ilvl w:val="1"/>
        <w:numId w:val="1"/>
      </w:numPr>
      <w:spacing w:before="200"/>
      <w:outlineLvl w:val="1"/>
    </w:pPr>
    <w:rPr>
      <w:rFonts w:ascii="Calibri" w:hAnsi="Calibri"/>
      <w:b/>
      <w:bCs/>
      <w:color w:val="4F81BD"/>
      <w:sz w:val="28"/>
      <w:szCs w:val="26"/>
    </w:rPr>
  </w:style>
  <w:style w:type="paragraph" w:styleId="Heading3">
    <w:name w:val="heading 3"/>
    <w:aliases w:val="Proposa"/>
    <w:basedOn w:val="Normal"/>
    <w:next w:val="Normal"/>
    <w:link w:val="Heading3Char"/>
    <w:uiPriority w:val="99"/>
    <w:qFormat/>
    <w:rsid w:val="00C107BD"/>
    <w:pPr>
      <w:keepNext/>
      <w:keepLines/>
      <w:numPr>
        <w:ilvl w:val="2"/>
        <w:numId w:val="1"/>
      </w:numPr>
      <w:spacing w:before="200"/>
      <w:outlineLvl w:val="2"/>
    </w:pPr>
    <w:rPr>
      <w:rFonts w:ascii="Calibri" w:hAnsi="Calibri"/>
      <w:bCs/>
      <w:color w:val="4F81BD"/>
      <w:sz w:val="28"/>
    </w:rPr>
  </w:style>
  <w:style w:type="paragraph" w:styleId="Heading4">
    <w:name w:val="heading 4"/>
    <w:aliases w:val="Map Title"/>
    <w:basedOn w:val="Normal"/>
    <w:next w:val="Normal"/>
    <w:link w:val="Heading4Char"/>
    <w:uiPriority w:val="99"/>
    <w:qFormat/>
    <w:rsid w:val="00C107BD"/>
    <w:pPr>
      <w:keepNext/>
      <w:keepLines/>
      <w:numPr>
        <w:ilvl w:val="3"/>
        <w:numId w:val="1"/>
      </w:numPr>
      <w:spacing w:before="200"/>
      <w:outlineLvl w:val="3"/>
    </w:pPr>
    <w:rPr>
      <w:rFonts w:ascii="Calibri" w:hAnsi="Calibri"/>
      <w:bCs/>
      <w:i/>
      <w:iCs/>
      <w:color w:val="4F81BD"/>
    </w:rPr>
  </w:style>
  <w:style w:type="paragraph" w:styleId="Heading5">
    <w:name w:val="heading 5"/>
    <w:aliases w:val="Block Label"/>
    <w:basedOn w:val="Normal"/>
    <w:next w:val="Normal"/>
    <w:link w:val="Heading5Char"/>
    <w:uiPriority w:val="99"/>
    <w:qFormat/>
    <w:rsid w:val="00C107BD"/>
    <w:pPr>
      <w:keepNext/>
      <w:keepLines/>
      <w:numPr>
        <w:ilvl w:val="4"/>
        <w:numId w:val="1"/>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C107BD"/>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C107BD"/>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C107BD"/>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C107BD"/>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rsid w:val="00C107BD"/>
    <w:rPr>
      <w:rFonts w:ascii="Calibri" w:eastAsia="Times New Roman" w:hAnsi="Calibri" w:cs="Times New Roman"/>
      <w:b/>
      <w:bCs/>
      <w:color w:val="365F91"/>
      <w:sz w:val="32"/>
      <w:szCs w:val="28"/>
    </w:rPr>
  </w:style>
  <w:style w:type="character" w:customStyle="1" w:styleId="Heading2Char">
    <w:name w:val="Heading 2 Char"/>
    <w:aliases w:val="H2 Char,HD2 Char,Heading 2 Hidden Char,Heading 2 Char2 Char Char,Heading 2 Char Char1 Char Char,Heading 2 Char2 Char Char Char Char,Heading 2 Char1 Char Char Char Char Char,Heading 2 Char Char Char Char Char Char Char"/>
    <w:basedOn w:val="DefaultParagraphFont"/>
    <w:link w:val="Heading2"/>
    <w:uiPriority w:val="99"/>
    <w:rsid w:val="00C107BD"/>
    <w:rPr>
      <w:rFonts w:ascii="Calibri" w:eastAsia="Times New Roman" w:hAnsi="Calibri" w:cs="Times New Roman"/>
      <w:b/>
      <w:bCs/>
      <w:color w:val="4F81BD"/>
      <w:sz w:val="28"/>
      <w:szCs w:val="26"/>
    </w:rPr>
  </w:style>
  <w:style w:type="character" w:customStyle="1" w:styleId="Heading3Char">
    <w:name w:val="Heading 3 Char"/>
    <w:basedOn w:val="DefaultParagraphFont"/>
    <w:link w:val="Heading3"/>
    <w:uiPriority w:val="99"/>
    <w:rsid w:val="00C107BD"/>
    <w:rPr>
      <w:rFonts w:ascii="Calibri" w:eastAsia="Times New Roman" w:hAnsi="Calibri" w:cs="Times New Roman"/>
      <w:bCs/>
      <w:color w:val="4F81BD"/>
      <w:sz w:val="28"/>
      <w:szCs w:val="24"/>
    </w:rPr>
  </w:style>
  <w:style w:type="character" w:customStyle="1" w:styleId="Heading4Char">
    <w:name w:val="Heading 4 Char"/>
    <w:basedOn w:val="DefaultParagraphFont"/>
    <w:link w:val="Heading4"/>
    <w:uiPriority w:val="99"/>
    <w:rsid w:val="00C107BD"/>
    <w:rPr>
      <w:rFonts w:ascii="Calibri" w:eastAsia="Times New Roman" w:hAnsi="Calibri" w:cs="Times New Roman"/>
      <w:bCs/>
      <w:i/>
      <w:iCs/>
      <w:color w:val="4F81BD"/>
      <w:sz w:val="24"/>
      <w:szCs w:val="24"/>
    </w:rPr>
  </w:style>
  <w:style w:type="character" w:customStyle="1" w:styleId="Heading5Char">
    <w:name w:val="Heading 5 Char"/>
    <w:basedOn w:val="DefaultParagraphFont"/>
    <w:link w:val="Heading5"/>
    <w:uiPriority w:val="99"/>
    <w:rsid w:val="00C107BD"/>
    <w:rPr>
      <w:rFonts w:ascii="Cambria" w:eastAsia="Times New Roman" w:hAnsi="Cambria" w:cs="Times New Roman"/>
      <w:color w:val="243F60"/>
      <w:sz w:val="24"/>
      <w:szCs w:val="24"/>
    </w:rPr>
  </w:style>
  <w:style w:type="character" w:customStyle="1" w:styleId="Heading6Char">
    <w:name w:val="Heading 6 Char"/>
    <w:basedOn w:val="DefaultParagraphFont"/>
    <w:link w:val="Heading6"/>
    <w:uiPriority w:val="99"/>
    <w:rsid w:val="00C107BD"/>
    <w:rPr>
      <w:rFonts w:ascii="Cambria" w:eastAsia="Times New Roman" w:hAnsi="Cambria" w:cs="Times New Roman"/>
      <w:i/>
      <w:iCs/>
      <w:color w:val="243F60"/>
      <w:sz w:val="24"/>
      <w:szCs w:val="24"/>
    </w:rPr>
  </w:style>
  <w:style w:type="character" w:customStyle="1" w:styleId="Heading7Char">
    <w:name w:val="Heading 7 Char"/>
    <w:basedOn w:val="DefaultParagraphFont"/>
    <w:link w:val="Heading7"/>
    <w:uiPriority w:val="99"/>
    <w:rsid w:val="00C107BD"/>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uiPriority w:val="99"/>
    <w:rsid w:val="00C107B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C107BD"/>
    <w:rPr>
      <w:rFonts w:ascii="Cambria" w:eastAsia="Times New Roman" w:hAnsi="Cambria" w:cs="Times New Roman"/>
      <w:i/>
      <w:iCs/>
      <w:color w:val="404040"/>
      <w:sz w:val="20"/>
      <w:szCs w:val="20"/>
    </w:rPr>
  </w:style>
  <w:style w:type="paragraph" w:styleId="ListParagraph">
    <w:name w:val="List Paragraph"/>
    <w:basedOn w:val="Normal"/>
    <w:link w:val="ListParagraphChar"/>
    <w:uiPriority w:val="34"/>
    <w:qFormat/>
    <w:rsid w:val="00C107BD"/>
    <w:pPr>
      <w:ind w:left="720"/>
      <w:contextualSpacing/>
    </w:pPr>
  </w:style>
  <w:style w:type="paragraph" w:styleId="Header">
    <w:name w:val="header"/>
    <w:basedOn w:val="Normal"/>
    <w:link w:val="HeaderChar"/>
    <w:uiPriority w:val="99"/>
    <w:rsid w:val="00C107BD"/>
    <w:pPr>
      <w:tabs>
        <w:tab w:val="center" w:pos="4680"/>
        <w:tab w:val="right" w:pos="9360"/>
      </w:tabs>
    </w:pPr>
  </w:style>
  <w:style w:type="character" w:customStyle="1" w:styleId="HeaderChar">
    <w:name w:val="Header Char"/>
    <w:basedOn w:val="DefaultParagraphFont"/>
    <w:link w:val="Header"/>
    <w:uiPriority w:val="99"/>
    <w:rsid w:val="00C107BD"/>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C107B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doc"/><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Protim Pegu</dc:creator>
  <cp:keywords/>
  <dc:description/>
  <cp:lastModifiedBy>Partha Protim Pegu</cp:lastModifiedBy>
  <cp:revision>1</cp:revision>
  <dcterms:created xsi:type="dcterms:W3CDTF">2019-12-16T09:12:00Z</dcterms:created>
  <dcterms:modified xsi:type="dcterms:W3CDTF">2019-12-16T09:13:00Z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parthaprotim.pegu@ad.infosys.com</vt:lpwstr>
  </property>
  <property fmtid="{D5CDD505-2E9C-101B-9397-08002B2CF9AE}" pid="5" name="MSIP_Label_be4b3411-284d-4d31-bd4f-bc13ef7f1fd6_SetDate">
    <vt:lpwstr>2019-12-16T09:12:16.9792478Z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c981b237-76be-467b-9b4b-bd092478d489</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parthaprotim.pegu@ad.infosys.com</vt:lpwstr>
  </property>
  <property fmtid="{D5CDD505-2E9C-101B-9397-08002B2CF9AE}" pid="13" name="MSIP_Label_a0819fa7-4367-4500-ba88-dd630d977609_SetDate">
    <vt:lpwstr>2019-12-16T09:12:16.9792478Z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c981b237-76be-467b-9b4b-bd092478d489</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