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ДОМЕННОЙ АРХИТЕКТУРЫ ЭЛЕКТРОННОГО ПРАВИТЕЛЬСТВА</w:t>
      </w:r>
    </w:p>
    <w:p w:rsidR="00000000" w:rsidDel="00000000" w:rsidP="00000000" w:rsidRDefault="00000000" w:rsidRPr="00000000" w14:paraId="00000003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Центр архитектуры электронного правительства </w:t>
      </w:r>
    </w:p>
    <w:p w:rsidR="00000000" w:rsidDel="00000000" w:rsidP="00000000" w:rsidRDefault="00000000" w:rsidRPr="00000000" w14:paraId="00000004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7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архитектуры деятельности </w:t>
      </w:r>
    </w:p>
    <w:p w:rsidR="00000000" w:rsidDel="00000000" w:rsidP="00000000" w:rsidRDefault="00000000" w:rsidRPr="00000000" w14:paraId="00000027">
      <w:pPr>
        <w:spacing w:after="0" w:line="276" w:lineRule="auto"/>
        <w:ind w:left="72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анализа НПА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Кодекс,Указ Президента, закон, постановление, приказ) осуществляется актуализация карты процессов доменов деятельности: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76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 деятельности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76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направлений деятельности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76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области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76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- функции </w:t>
      </w:r>
    </w:p>
    <w:p w:rsidR="00000000" w:rsidDel="00000000" w:rsidP="00000000" w:rsidRDefault="00000000" w:rsidRPr="00000000" w14:paraId="0000002D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38825" cy="5334000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осуществляется взаимосвязь между сферами деятельности, направлениями деятельности, функциональными областями и группами функций в ArchiMate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1910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к каждой группе -функции дается пояснение в main - documentation 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251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во вкладке properties к каждой группе функции при необходимости добавляются сведения по владельцу, типу, ссылка на НПА, эталонный источник.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42570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в каждой группе функции необходимо создать соотносящийся элемент бизнес-процесса</w:t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5212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даем пояснение к каждому бизнес - процессу. 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4417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0099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определенного объема работы, данные  из ArchiMate необходимо выгрузить на сервер (для актуализации работы у всех пользователей ArchiMate). Для этого необходимо выполнить  следующее: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line="276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подтянуть актуальные сведения с сервера </w:t>
      </w:r>
    </w:p>
    <w:p w:rsidR="00000000" w:rsidDel="00000000" w:rsidP="00000000" w:rsidRDefault="00000000" w:rsidRPr="00000000" w14:paraId="00000045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14825" cy="2895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="276" w:lineRule="auto"/>
        <w:ind w:left="141.73228346456688" w:firstLine="708.66141732283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необходимо опубликовать свою часть работы на сервер</w:t>
      </w:r>
    </w:p>
    <w:p w:rsidR="00000000" w:rsidDel="00000000" w:rsidP="00000000" w:rsidRDefault="00000000" w:rsidRPr="00000000" w14:paraId="00000047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44386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после актуализации карты процессов, на сайте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https://models.govarch.kz/map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созданным элементам бизнес - процесса  загружается соответствующий БП AS-IS и TO BE. Для этого необходимо авторизоваться на сайте, найти соответствующий элемент БП нажать загрузить БП (БП в формате SVG), дать наименование БП.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0480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просмотра загруженного БП необходимо нажать на вкладку бизнес процессы.</w:t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8829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выбрать необходимый БП.</w:t>
      </w:r>
    </w:p>
    <w:p w:rsidR="00000000" w:rsidDel="00000000" w:rsidP="00000000" w:rsidRDefault="00000000" w:rsidRPr="00000000" w14:paraId="0000004E">
      <w:pPr>
        <w:spacing w:after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235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7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архитектуры данных (концептуальная модель данных) </w:t>
      </w:r>
    </w:p>
    <w:p w:rsidR="00000000" w:rsidDel="00000000" w:rsidP="00000000" w:rsidRDefault="00000000" w:rsidRPr="00000000" w14:paraId="00000050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2341"/>
          <w:tab w:val="left" w:leader="none" w:pos="4396"/>
          <w:tab w:val="left" w:leader="none" w:pos="4845"/>
          <w:tab w:val="left" w:leader="none" w:pos="6047"/>
          <w:tab w:val="left" w:leader="none" w:pos="7283"/>
          <w:tab w:val="left" w:leader="none" w:pos="9225"/>
        </w:tabs>
        <w:spacing w:after="0" w:line="276" w:lineRule="auto"/>
        <w:ind w:right="-16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концептуальной моделью данных понимается модель, представленная в виде основных сущностей домена с ключевыми атрибутами и связями между ними. Концептуальная модель данных определяет верхнеуровневое представление о данных домена, необходимых для обеспечения функционирования целевых сервисов.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2341"/>
          <w:tab w:val="left" w:leader="none" w:pos="4396"/>
          <w:tab w:val="left" w:leader="none" w:pos="4845"/>
          <w:tab w:val="left" w:leader="none" w:pos="6047"/>
          <w:tab w:val="left" w:leader="none" w:pos="7283"/>
          <w:tab w:val="left" w:leader="none" w:pos="9225"/>
        </w:tabs>
        <w:spacing w:after="0" w:line="276" w:lineRule="auto"/>
        <w:ind w:right="-16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концептуальной модели данных домена осуществляется при формировании архитектуры данных доменов Сервисным интегратором «электронного правительства» совместно с государственными органами. 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2341"/>
          <w:tab w:val="left" w:leader="none" w:pos="4396"/>
          <w:tab w:val="left" w:leader="none" w:pos="4845"/>
          <w:tab w:val="left" w:leader="none" w:pos="6047"/>
          <w:tab w:val="left" w:leader="none" w:pos="7283"/>
          <w:tab w:val="left" w:leader="none" w:pos="9225"/>
        </w:tabs>
        <w:spacing w:after="0" w:line="276" w:lineRule="auto"/>
        <w:ind w:right="-16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проектирования концептуальной модели данных домена:</w:t>
      </w:r>
    </w:p>
    <w:p w:rsidR="00000000" w:rsidDel="00000000" w:rsidP="00000000" w:rsidRDefault="00000000" w:rsidRPr="00000000" w14:paraId="00000054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этап: для каждого домена (отрасли госуправления) определяются субъекты и объекты данных с описанием базовых атрибутов, которые будут наследоваться сущностями. На основе анализа НПА для каждого субъекта и объекта данных выявляются сущности (примеры сущностей: пациент, донор, медицинский работник, автотранспортное средство, лекарственное средство, больница, товар и т.д.). НПА, регулирующие отрасли госуправления, выступают в роли первоисточников для выявления/определения объектов данных, субъектов данных, сущностей и помогают участникам (отраслевым специалистам ГО) определить основные данные в разрезе доменов (отраслей госуправления).</w:t>
      </w:r>
    </w:p>
    <w:p w:rsidR="00000000" w:rsidDel="00000000" w:rsidP="00000000" w:rsidRDefault="00000000" w:rsidRPr="00000000" w14:paraId="00000055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этап: для каждой сущности определяется уникальный набор атрибутов из источников формирования этих атрибутов на основе анализа существующих объектов информатизации «электронного правительства». Например, для субъекта «Работник» в домене «Социальное обеспечение» заполняются следующие атрибуты: дата рождения, адрес прописки, трудовой стаж работы, пенсионные отчисления, образование, сведения о составе семьи и т.д. Для каждого атрибута сущности определяется объект информатизации «электронного правительства» – эталонный источник его формирования. Далее по согласованию с государственными органами для каждого атрибута сущности определяются следующие поля: Таблица базы данных (наименование таблицы эталонного источника, в которой содержится данный атрибут), Наименование поля (наименование поля в таблице эталонного источника, в которой содержится данный атрибут), Наименование государственной услуги (наименование государственной услуги, в которой участвует данная сущность).</w:t>
      </w:r>
    </w:p>
    <w:p w:rsidR="00000000" w:rsidDel="00000000" w:rsidP="00000000" w:rsidRDefault="00000000" w:rsidRPr="00000000" w14:paraId="00000056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этап: с учетом формирования связей между сущностями формируется концептуальная модель данных, которая будет содержать в себе описания видов данных, отображаемых из различных эталонных баз данных организаций.</w:t>
      </w:r>
    </w:p>
    <w:p w:rsidR="00000000" w:rsidDel="00000000" w:rsidP="00000000" w:rsidRDefault="00000000" w:rsidRPr="00000000" w14:paraId="00000057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1. Форма описания субъектов/объектов домена с описанием их атрибутов</w:t>
      </w:r>
    </w:p>
    <w:sdt>
      <w:sdtPr>
        <w:lock w:val="contentLocked"/>
        <w:tag w:val="goog_rdk_0"/>
      </w:sdtPr>
      <w:sdtContent>
        <w:tbl>
          <w:tblPr>
            <w:tblStyle w:val="Table1"/>
            <w:tblW w:w="91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0"/>
            <w:gridCol w:w="1080"/>
            <w:gridCol w:w="1155"/>
            <w:gridCol w:w="1260"/>
            <w:gridCol w:w="1125"/>
            <w:gridCol w:w="1020"/>
            <w:gridCol w:w="1020"/>
            <w:gridCol w:w="1020"/>
            <w:gridCol w:w="1020"/>
            <w:tblGridChange w:id="0">
              <w:tblGrid>
                <w:gridCol w:w="480"/>
                <w:gridCol w:w="1080"/>
                <w:gridCol w:w="1155"/>
                <w:gridCol w:w="1260"/>
                <w:gridCol w:w="1125"/>
                <w:gridCol w:w="1020"/>
                <w:gridCol w:w="1020"/>
                <w:gridCol w:w="1020"/>
                <w:gridCol w:w="1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Вид объекта данных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Наименова ние объекта данных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Описание объекта данных (определение, ссылка на НПА)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Наименование атрибута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Эталонный источник (ИС)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Таблица базы данных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Наименование поля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Наименование государственной услуги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Заполнение формы описания субъектов/объектов домена:</w:t>
      </w:r>
    </w:p>
    <w:p w:rsidR="00000000" w:rsidDel="00000000" w:rsidP="00000000" w:rsidRDefault="00000000" w:rsidRPr="00000000" w14:paraId="0000006D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Вид объекта или субъекта данных:</w:t>
      </w:r>
    </w:p>
    <w:p w:rsidR="00000000" w:rsidDel="00000000" w:rsidP="00000000" w:rsidRDefault="00000000" w:rsidRPr="00000000" w14:paraId="0000006E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указывается объект или субъект данных.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субъекты (физическое лицо или юридическое лицо), объекты или документы.</w:t>
      </w:r>
    </w:p>
    <w:p w:rsidR="00000000" w:rsidDel="00000000" w:rsidP="00000000" w:rsidRDefault="00000000" w:rsidRPr="00000000" w14:paraId="0000006F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Наименование объекта данных:</w:t>
      </w:r>
    </w:p>
    <w:p w:rsidR="00000000" w:rsidDel="00000000" w:rsidP="00000000" w:rsidRDefault="00000000" w:rsidRPr="00000000" w14:paraId="00000070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указываются основные сущности первого и второго уровня субъектов и объектов данных.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пассажир, водитель автотранспорта, перевозчик, пассажирский билет.</w:t>
      </w:r>
    </w:p>
    <w:p w:rsidR="00000000" w:rsidDel="00000000" w:rsidP="00000000" w:rsidRDefault="00000000" w:rsidRPr="00000000" w14:paraId="00000071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Описание объекта данных (определение и ссылка на НПА): </w:t>
      </w:r>
    </w:p>
    <w:p w:rsidR="00000000" w:rsidDel="00000000" w:rsidP="00000000" w:rsidRDefault="00000000" w:rsidRPr="00000000" w14:paraId="00000072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указывается определение объекта или субъекта согласно НПА, добавляется ссылка на НПА.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Например: пассажир (ЖД транспорт) - физическое лицо, имеющее проездной документ (билет) и совершающее поездку в поезде; автомобильный перевозчик (далее – перевозчик) – физическое или юридическое лицо, владеющее автотранспортными средствами, за исключением легковых, на праве собственности или на иных законных основаниях, осуществляющее предпринимательскую деятельность по перевозке пассажиров, багажа, грузов и почтовых отправлений.</w:t>
      </w:r>
    </w:p>
    <w:p w:rsidR="00000000" w:rsidDel="00000000" w:rsidP="00000000" w:rsidRDefault="00000000" w:rsidRPr="00000000" w14:paraId="00000073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Наименование атрибута:</w:t>
      </w:r>
    </w:p>
    <w:p w:rsidR="00000000" w:rsidDel="00000000" w:rsidP="00000000" w:rsidRDefault="00000000" w:rsidRPr="00000000" w14:paraId="00000074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указываются атрибуты для сущностей на основе анализа НПА. Например: серия и номер проездного документа, номер поезда, дата и время отправления поезда, станция отправления, станция назначения, стоимость билета, багаж.</w:t>
      </w:r>
    </w:p>
    <w:p w:rsidR="00000000" w:rsidDel="00000000" w:rsidP="00000000" w:rsidRDefault="00000000" w:rsidRPr="00000000" w14:paraId="00000075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Эталонный источник (информационная система/база данных):</w:t>
      </w:r>
    </w:p>
    <w:p w:rsidR="00000000" w:rsidDel="00000000" w:rsidP="00000000" w:rsidRDefault="00000000" w:rsidRPr="00000000" w14:paraId="00000076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указываются эталонные источники для атрибутов на основе анализа эксплуатируемых информационных систем. Например: АСУ «Экспресс-3», ИАС ТБД, АИС СЦ, ИС «E-Freight».</w:t>
      </w:r>
    </w:p>
    <w:p w:rsidR="00000000" w:rsidDel="00000000" w:rsidP="00000000" w:rsidRDefault="00000000" w:rsidRPr="00000000" w14:paraId="00000077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Таблица базы данных:</w:t>
      </w:r>
    </w:p>
    <w:p w:rsidR="00000000" w:rsidDel="00000000" w:rsidP="00000000" w:rsidRDefault="00000000" w:rsidRPr="00000000" w14:paraId="00000078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указываются наименования таблиц эталонного источника, в которых содержится атрибут. Например: таблица «DriverLicence» атрибута «Серия и номер документа» сущности «Водитель автотранспорта» в домене «Транспорт».</w:t>
      </w:r>
    </w:p>
    <w:p w:rsidR="00000000" w:rsidDel="00000000" w:rsidP="00000000" w:rsidRDefault="00000000" w:rsidRPr="00000000" w14:paraId="00000079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Наименование поля:</w:t>
      </w:r>
    </w:p>
    <w:p w:rsidR="00000000" w:rsidDel="00000000" w:rsidP="00000000" w:rsidRDefault="00000000" w:rsidRPr="00000000" w14:paraId="0000007A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указываются наименования полей в таблицах эталонных источников, в которых содержится атрибут. Например: поля «DlSeries», «DlNumber» атрибута «Серия и номер документа» сущности «Водитель автотранспорта» в домене «Транспорт».</w:t>
      </w:r>
    </w:p>
    <w:p w:rsidR="00000000" w:rsidDel="00000000" w:rsidP="00000000" w:rsidRDefault="00000000" w:rsidRPr="00000000" w14:paraId="0000007B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Наименование государственной услуги:</w:t>
      </w:r>
    </w:p>
    <w:p w:rsidR="00000000" w:rsidDel="00000000" w:rsidP="00000000" w:rsidRDefault="00000000" w:rsidRPr="00000000" w14:paraId="0000007C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указываются наименования государственных услуг, в которых участвуют сущности. Например: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государственная услуга «Выдача водительских удостоверений» атрибута «Серия и номер документа» сущности «Водитель автотранспорта» в домене «Транспорт».</w:t>
      </w:r>
    </w:p>
    <w:p w:rsidR="00000000" w:rsidDel="00000000" w:rsidP="00000000" w:rsidRDefault="00000000" w:rsidRPr="00000000" w14:paraId="0000007D">
      <w:pPr>
        <w:spacing w:after="0" w:before="0" w:line="276" w:lineRule="auto"/>
        <w:ind w:firstLine="708.6614173228347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Описание концептуальной модели данных в Archimate</w:t>
      </w:r>
    </w:p>
    <w:p w:rsidR="00000000" w:rsidDel="00000000" w:rsidP="00000000" w:rsidRDefault="00000000" w:rsidRPr="00000000" w14:paraId="0000007E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выявленных субъектов/объектов и их атрибутов Сервисным интегратором «электронного правительства» осуществляется проектирование концептуальной модели данных архитектуры «электронного правительства» с использованием нотации ArchiMate. Язык нотации ArchiMate предназначен для высокоуровневого моделирования и анализа различных областей и отраслей предприятия и взаимосвязей между ними.</w:t>
      </w:r>
    </w:p>
    <w:p w:rsidR="00000000" w:rsidDel="00000000" w:rsidP="00000000" w:rsidRDefault="00000000" w:rsidRPr="00000000" w14:paraId="0000007F">
      <w:pPr>
        <w:spacing w:after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Концептуальная модель данных является составным элементом целевой архитектуры данных и размещается в виде цифровой модели на архитектурном портале «электронного правительства» по следующему адресу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https://models.govarch.kz/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(Рис. 1 Концептуальная модель данных).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2341"/>
          <w:tab w:val="left" w:leader="none" w:pos="4396"/>
          <w:tab w:val="left" w:leader="none" w:pos="4845"/>
          <w:tab w:val="left" w:leader="none" w:pos="6047"/>
          <w:tab w:val="left" w:leader="none" w:pos="7283"/>
          <w:tab w:val="left" w:leader="none" w:pos="9225"/>
        </w:tabs>
        <w:spacing w:after="0" w:line="276" w:lineRule="auto"/>
        <w:ind w:right="-16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tabs>
          <w:tab w:val="left" w:leader="none" w:pos="2341"/>
          <w:tab w:val="left" w:leader="none" w:pos="4396"/>
          <w:tab w:val="left" w:leader="none" w:pos="4845"/>
          <w:tab w:val="left" w:leader="none" w:pos="6047"/>
          <w:tab w:val="left" w:leader="none" w:pos="7283"/>
          <w:tab w:val="left" w:leader="none" w:pos="9225"/>
        </w:tabs>
        <w:spacing w:after="0" w:line="276" w:lineRule="auto"/>
        <w:ind w:right="-16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5763" cy="2595713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763" cy="259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2341"/>
          <w:tab w:val="left" w:leader="none" w:pos="4396"/>
          <w:tab w:val="left" w:leader="none" w:pos="4845"/>
          <w:tab w:val="left" w:leader="none" w:pos="6047"/>
          <w:tab w:val="left" w:leader="none" w:pos="7283"/>
          <w:tab w:val="left" w:leader="none" w:pos="9225"/>
        </w:tabs>
        <w:spacing w:after="0" w:line="276" w:lineRule="auto"/>
        <w:ind w:right="-16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 Концептуальная модель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ind w:firstLine="70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Пример создания субъекта «Водитель автотранспорта» в домене «Транспорт»</w:t>
      </w:r>
    </w:p>
    <w:p w:rsidR="00000000" w:rsidDel="00000000" w:rsidP="00000000" w:rsidRDefault="00000000" w:rsidRPr="00000000" w14:paraId="00000085">
      <w:pPr>
        <w:spacing w:after="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субъекта/объекта в ArchiMate необходимо выбрать элемент Data Object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2875" cy="152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перетянув его в рабочую область. Далее для элемента Data Object необходимо: 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Заполнить в разделе Properties во вкладке Main поле Name - наименование создаваемого субъекта/объекта (в нашем примере: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Водитель автотранспорта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поле Documentation - определение субъекта/объекта со ссылкой на НПА (в нашем примере: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водитель – лицо, управляющее транспортным средством, погонщик, ведущий по дороге скот, стадо, вьючных, упряжных или верховых животных (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8"/>
            <w:szCs w:val="28"/>
            <w:u w:val="single"/>
            <w:rtl w:val="0"/>
          </w:rPr>
          <w:t xml:space="preserve">https://adilet.zan.kz/rus/docs/Z1400000194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(Рис. 2 Вкладка Main раздела Properties субъекта Водитель автотранспорта). </w:t>
      </w:r>
    </w:p>
    <w:p w:rsidR="00000000" w:rsidDel="00000000" w:rsidP="00000000" w:rsidRDefault="00000000" w:rsidRPr="00000000" w14:paraId="00000087">
      <w:pPr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59537" cy="2544657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9537" cy="254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2 Вкладка Main раздела Properties субъекта Водитель автотранспорта</w:t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Связать его с помощью элемента Aggregation relation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1450" cy="219075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ранее созданным элементом Data Object, которому присвоено наименование «Физическое лицо»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(для наследования им атрибутов субъекта «Физическое лицо»)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(Рис. 3 Связывание субъекта Водитель автотранспорта с субъектом Физическое лицо).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36495" cy="2232397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495" cy="2232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3 Связывание субъекта Водитель автотранспорта с субъектом Физическое лицо</w:t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с помощью элемента Resource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975" cy="200025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атрибуты к субъекту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Водитель автотранспорта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этого элементы Resource необходимо вставить в границы субъекта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Водитель автотранспорта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таким образом связав атрибут с субъектом  (в нашем примере: атрибуты Дата выдачи, Действителен до, Наименование выдавшего органа, Номер, Категория вождения, Серия и номер документа) (Рис. 4 Атрибуты субъекта Водитель автотранспорта). </w:t>
      </w:r>
    </w:p>
    <w:p w:rsidR="00000000" w:rsidDel="00000000" w:rsidP="00000000" w:rsidRDefault="00000000" w:rsidRPr="00000000" w14:paraId="00000091">
      <w:pPr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254854" cy="256589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854" cy="256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4 Атрибуты субъекта Водитель автотранспорта</w:t>
      </w:r>
    </w:p>
    <w:p w:rsidR="00000000" w:rsidDel="00000000" w:rsidP="00000000" w:rsidRDefault="00000000" w:rsidRPr="00000000" w14:paraId="00000094">
      <w:pPr>
        <w:spacing w:after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выявленного атрибута субъекта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Водитель автотранспорта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заполнить в разделе Properties во вкладке Main поле Name - наименование атрибута (Рис. 5 Вкладка Main раздела Properties атрибута Серия и номер документа субъекта Водитель автотранспорта); </w:t>
      </w:r>
    </w:p>
    <w:p w:rsidR="00000000" w:rsidDel="00000000" w:rsidP="00000000" w:rsidRDefault="00000000" w:rsidRPr="00000000" w14:paraId="00000097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86175" cy="2187528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263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87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5 Вкладка Main раздела Properties атрибута Серия и номер документа субъекта Водитель автотранспорта</w:t>
      </w:r>
    </w:p>
    <w:p w:rsidR="00000000" w:rsidDel="00000000" w:rsidP="00000000" w:rsidRDefault="00000000" w:rsidRPr="00000000" w14:paraId="0000009A">
      <w:pPr>
        <w:spacing w:after="0"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добавить в разделе Properties во вкладке Properties эталонный источник (при его наличии), владельца данных, таблицу базы данных, наименование поля, наименование государственной услуги (при ее наличии) (Рис. Х Атрибуты субъекта Водитель автотранспорта) (Рис. 6 Вкладка Properties раздела Properties атрибута Серия и номер документа субъекта Водитель автотранспорта);</w:t>
      </w:r>
    </w:p>
    <w:p w:rsidR="00000000" w:rsidDel="00000000" w:rsidP="00000000" w:rsidRDefault="00000000" w:rsidRPr="00000000" w14:paraId="0000009C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3517" cy="2517362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3517" cy="251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76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6 Вкладка Properties раздела Properties атрибута Серия и номер документа субъекта Водитель автотранспорта</w:t>
      </w:r>
    </w:p>
    <w:p w:rsidR="00000000" w:rsidDel="00000000" w:rsidP="00000000" w:rsidRDefault="00000000" w:rsidRPr="00000000" w14:paraId="0000009F">
      <w:pPr>
        <w:spacing w:after="0" w:line="276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выбрать в разделе Properties во вкладке Appearance в поле Fill Colour цвет белый (в случае если у атрибута имеется эталонный источник) либо серый (в случае если у атрибута не имеется эталонный источник) (Рис. 7 Поле Fill Colour вкладки Appearance раздела Properties атрибута Серия и номер документа субъекта Водитель автотранспорта).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40587" cy="315999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587" cy="3159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76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7 Поле Fill Colour вкладки Appearance раздела Properties атрибута Серия и номер документа субъекта Водитель автотранспорта</w:t>
      </w:r>
    </w:p>
    <w:p w:rsidR="00000000" w:rsidDel="00000000" w:rsidP="00000000" w:rsidRDefault="00000000" w:rsidRPr="00000000" w14:paraId="000000A4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Вышеописанным способом возможно создание в Концептуальной модели данных субъектов/объектов данных домена и их атрибутов, выявленных на основе анализа НПА.</w:t>
      </w:r>
    </w:p>
    <w:p w:rsidR="00000000" w:rsidDel="00000000" w:rsidP="00000000" w:rsidRDefault="00000000" w:rsidRPr="00000000" w14:paraId="000000A6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определенного объема работы данные  из ArchiMate необходимо выгрузить на сервер (для актуализации работы у всех пользователей ArchiMate). Для этого необходимо выполнить  следующее:</w:t>
      </w:r>
    </w:p>
    <w:p w:rsidR="00000000" w:rsidDel="00000000" w:rsidP="00000000" w:rsidRDefault="00000000" w:rsidRPr="00000000" w14:paraId="000000A7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сначала подтянуть актуальные сведения с сервера (в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разделе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Сollaboration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выбрать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Refrech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Model)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Рис. 8 Кнопка Refrech Model раздела Сollaboration)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40600" cy="2721989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0600" cy="2721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8 Кнопка Refresh Model раздела Collaboration</w:t>
      </w:r>
    </w:p>
    <w:p w:rsidR="00000000" w:rsidDel="00000000" w:rsidP="00000000" w:rsidRDefault="00000000" w:rsidRPr="00000000" w14:paraId="000000AB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далее необходимо опубликовать свою часть работы на сервер (в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разделе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Сollaboration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выбрать Publish Changes) (Рис. 9 Кнопка Publish Changes раздела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Сollaboration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pacing w:after="0" w:line="276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69150" cy="3311187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9150" cy="3311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9 Кнопка Publish Changes раздела Collaboration </w:t>
      </w:r>
    </w:p>
    <w:p w:rsidR="00000000" w:rsidDel="00000000" w:rsidP="00000000" w:rsidRDefault="00000000" w:rsidRPr="00000000" w14:paraId="000000B0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провести миграцию данных из сервера GitHub на сайт.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Актуализированные данные доступны для просмотра на сайте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https://models.govarch.kz/kmd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7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архитектуры ИС/сервисов</w:t>
      </w:r>
    </w:p>
    <w:p w:rsidR="00000000" w:rsidDel="00000000" w:rsidP="00000000" w:rsidRDefault="00000000" w:rsidRPr="00000000" w14:paraId="000000B4">
      <w:pPr>
        <w:spacing w:after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Описание информационной системы/сервиса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это формализованное представление, в котором указываются назначение, функции, структура, принципы работы и целевая аудитория системы или сервиса, а также способы взаимодействия с пользователями и другими системами.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Информационная система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организационно-упорядоченная совокупность информационно-коммуникационных технологий, обслуживающего персонала и технической документации, реализующих определенные технологические действия посредством информационного взаимодействия и предназначенных для решения конкретных функциональных задач.</w:t>
      </w:r>
    </w:p>
    <w:p w:rsidR="00000000" w:rsidDel="00000000" w:rsidP="00000000" w:rsidRDefault="00000000" w:rsidRPr="00000000" w14:paraId="000000B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Сервис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это программное приложение или веб-сервис, предоставляющий доступ к определённой информации или функции через интернет или локальную сеть.</w:t>
      </w:r>
    </w:p>
    <w:p w:rsidR="00000000" w:rsidDel="00000000" w:rsidP="00000000" w:rsidRDefault="00000000" w:rsidRPr="00000000" w14:paraId="000000B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архитектурном портале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https://models.govarch.kz/service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ознакомиться с ИС/cервисами доменов архитектуры ЭП. (Рис.1)</w:t>
      </w:r>
    </w:p>
    <w:p w:rsidR="00000000" w:rsidDel="00000000" w:rsidP="00000000" w:rsidRDefault="00000000" w:rsidRPr="00000000" w14:paraId="000000B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  На сегодняшний день описано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ИС/сервисов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17 доменам ЭП. (Рис.2)</w:t>
      </w:r>
    </w:p>
    <w:p w:rsidR="00000000" w:rsidDel="00000000" w:rsidP="00000000" w:rsidRDefault="00000000" w:rsidRPr="00000000" w14:paraId="000000B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400675" cy="3521663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2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 1. Архитектурный портал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https://models.govarch.kz/service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143125" cy="3800475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 2. Перечень доменов архитектуры ЭП</w:t>
      </w:r>
    </w:p>
    <w:p w:rsidR="00000000" w:rsidDel="00000000" w:rsidP="00000000" w:rsidRDefault="00000000" w:rsidRPr="00000000" w14:paraId="000000B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Пример описания домена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Сельское хозяйство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на архитектурном портале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Сервисы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(Рис.3). </w:t>
      </w:r>
    </w:p>
    <w:p w:rsidR="00000000" w:rsidDel="00000000" w:rsidP="00000000" w:rsidRDefault="00000000" w:rsidRPr="00000000" w14:paraId="000000C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ИС/сервисы подразделяются на ИС зарегистрированные (выделено белым цветом) и незарегистрированные (выделено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8"/>
          <w:szCs w:val="28"/>
          <w:highlight w:val="white"/>
          <w:rtl w:val="0"/>
        </w:rPr>
        <w:t xml:space="preserve">серым цветом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на арх.портале. Также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highlight w:val="white"/>
          <w:rtl w:val="0"/>
        </w:rPr>
        <w:t xml:space="preserve"> красным цветом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предложены ИС МИО, рекомендованные для списания, так как их функционал можно реализовать на уровне ИС ЦГО.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ff00"/>
          <w:sz w:val="28"/>
          <w:szCs w:val="28"/>
          <w:highlight w:val="white"/>
          <w:rtl w:val="0"/>
        </w:rPr>
        <w:t xml:space="preserve">Зеленым цветом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предложены целевые сервисы/системы.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8"/>
          <w:szCs w:val="28"/>
          <w:highlight w:val="white"/>
          <w:rtl w:val="0"/>
        </w:rPr>
        <w:t xml:space="preserve">Темно-серым цветом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выделены частные ИС/сервисы.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  <w:drawing>
          <wp:inline distB="114300" distT="114300" distL="114300" distR="114300">
            <wp:extent cx="5940115" cy="38989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  <w:drawing>
          <wp:inline distB="114300" distT="114300" distL="114300" distR="114300">
            <wp:extent cx="2286000" cy="1314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Рис.3 Пример описания ИС/сервисов домена Сельское хозяйство</w:t>
      </w:r>
    </w:p>
    <w:p w:rsidR="00000000" w:rsidDel="00000000" w:rsidP="00000000" w:rsidRDefault="00000000" w:rsidRPr="00000000" w14:paraId="000000C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Описание ИС/сервисов были подразделены на 2 категории: Управляющие/Типовые и Отраслевые.</w:t>
      </w:r>
    </w:p>
    <w:p w:rsidR="00000000" w:rsidDel="00000000" w:rsidP="00000000" w:rsidRDefault="00000000" w:rsidRPr="00000000" w14:paraId="000000C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Управляющие/Типовой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категории были описаны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ИС/сервисы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общие для всех доменов, такие как ИС ГП (стратегическое управление), ИС ГБД ЕЛ (управление лицензиями), АИИС ЭГЗ (система управления закупками), ЕПИР ГО (управление взаимоотношениями с потребителями) и тд. (Рис. 4)</w:t>
      </w:r>
    </w:p>
    <w:p w:rsidR="00000000" w:rsidDel="00000000" w:rsidP="00000000" w:rsidRDefault="00000000" w:rsidRPr="00000000" w14:paraId="000000C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618798" cy="2200275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79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 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Управляющие/Типовые ИС/сервисы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Отраслевой категории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были описаны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 ИС/сервисы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по направлениям отрасли каждого домена ЭП.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Пример для домена Сельское хозяйство: Животноводство, Растениеводство, Земельные ресурсы; домен Спорт и туризм: Спорт и туризм и тд). (Рис. 5)</w:t>
      </w:r>
    </w:p>
    <w:p w:rsidR="00000000" w:rsidDel="00000000" w:rsidP="00000000" w:rsidRDefault="00000000" w:rsidRPr="00000000" w14:paraId="000000C9">
      <w:pPr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  <w:drawing>
          <wp:inline distB="114300" distT="114300" distL="114300" distR="114300">
            <wp:extent cx="5580698" cy="21336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698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 5. Отраслевые ИС/сервисы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ИС/сервисов подразделяются по классификации согласно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Правилам классификации объектов информатизации и классификатор объектов информатизации.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(Об утверждении Правил классификации объектов информатизации и классификатор объектов информатизации Приказ и.о. Министра по инвестициям и развитию Республики Казахстан от 28 января 2016 года № 135. Зарегистрирован в Министерстве юстиции Республики Казахстан 29 февраля 2016 года № 13349)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Классификатор объектов информатизации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(далее – классификатор) – систематизированный перечень категорий, направленный на идентификацию и описание объектов информатизации.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Алгоритм работы создания ИС/сервисов в ПО Archimate: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Заходим в ПО Archimate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  <w:drawing>
          <wp:inline distB="114300" distT="114300" distL="114300" distR="114300">
            <wp:extent cx="5940115" cy="31242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Переходим в раздел Сервисы</w:t>
      </w:r>
    </w:p>
    <w:p w:rsidR="00000000" w:rsidDel="00000000" w:rsidP="00000000" w:rsidRDefault="00000000" w:rsidRPr="00000000" w14:paraId="000000D3">
      <w:pPr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  <w:drawing>
          <wp:inline distB="114300" distT="114300" distL="114300" distR="114300">
            <wp:extent cx="2695575" cy="105727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Выбираем соответствующий домен ЭП.</w:t>
      </w:r>
    </w:p>
    <w:p w:rsidR="00000000" w:rsidDel="00000000" w:rsidP="00000000" w:rsidRDefault="00000000" w:rsidRPr="00000000" w14:paraId="000000D5">
      <w:pPr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  <w:drawing>
          <wp:inline distB="114300" distT="114300" distL="114300" distR="114300">
            <wp:extent cx="2428875" cy="31432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Согласно нотации ПО Archimate подразделяем ИС/сервисы по направлениям отрасли домена.</w:t>
      </w:r>
    </w:p>
    <w:p w:rsidR="00000000" w:rsidDel="00000000" w:rsidP="00000000" w:rsidRDefault="00000000" w:rsidRPr="00000000" w14:paraId="000000D7">
      <w:pPr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  <w:drawing>
          <wp:inline distB="114300" distT="114300" distL="114300" distR="114300">
            <wp:extent cx="5525588" cy="3214404"/>
            <wp:effectExtent b="0" l="0" r="0" t="0"/>
            <wp:docPr id="1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588" cy="3214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Выбираем соответствующую классификацию ИС/сервиса согласно Правилам классификации объектов информатизации.</w:t>
      </w:r>
    </w:p>
    <w:p w:rsidR="00000000" w:rsidDel="00000000" w:rsidP="00000000" w:rsidRDefault="00000000" w:rsidRPr="00000000" w14:paraId="000000D9">
      <w:pPr>
        <w:ind w:left="720" w:firstLine="0"/>
        <w:jc w:val="both"/>
        <w:rPr>
          <w:rFonts w:ascii="Times New Roman" w:cs="Times New Roman" w:eastAsia="Times New Roman" w:hAnsi="Times New Roman"/>
          <w:b w:val="1"/>
          <w:color w:val="4a86e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  <w:rtl w:val="0"/>
        </w:rPr>
        <w:t xml:space="preserve">(Об утверждении Правил классификации объектов информатизации и классификатор объектов информатизации Приказ и.о. Министра по инвестициям и развитию Республики Казахстан от 28 января 2016 года № 135. Зарегистрирован в Министерстве юстиции Республики Казахстан 29 февраля 2016 года № 13349)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8"/>
          <w:szCs w:val="28"/>
          <w:highlight w:val="white"/>
          <w:rtl w:val="0"/>
        </w:rPr>
        <w:t xml:space="preserve">(https://adilet.zan.kz/rus/docs/V1600013349)</w:t>
      </w:r>
    </w:p>
    <w:p w:rsidR="00000000" w:rsidDel="00000000" w:rsidP="00000000" w:rsidRDefault="00000000" w:rsidRPr="00000000" w14:paraId="000000DA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Для каждого ИС/сервиса проставляем Properties “Владельца данных” и “Эталонный источник” и  “Описание” (Documentation).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  <w:drawing>
          <wp:inline distB="114300" distT="114300" distL="114300" distR="114300">
            <wp:extent cx="5940115" cy="2019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  <w:drawing>
          <wp:inline distB="114300" distT="114300" distL="114300" distR="114300">
            <wp:extent cx="5943600" cy="148514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Переходим в раздел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Сollaboration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выполняем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Refrech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Model, затем Publish Changes. (Публикация на сервере)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  <w:drawing>
          <wp:inline distB="114300" distT="114300" distL="114300" distR="114300">
            <wp:extent cx="5940115" cy="457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  <w:drawing>
          <wp:inline distB="114300" distT="114300" distL="114300" distR="114300">
            <wp:extent cx="5940115" cy="22733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7752" cy="27717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752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405424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5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Провести миграцию данных из сервера GitHub на сайт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https://models.govarch.kz/service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76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0.787401574803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D71DA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D71DA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D71DAF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D71DA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D71DAF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D71DA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D71D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D71D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D71D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D71DA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D71DA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D71DA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D71DA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D71DAF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D71DAF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D71DAF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D71DAF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D71DAF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D71DA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D71D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D71DA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D71D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D71D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D71DAF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D71DAF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D71DAF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D71DA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D71DAF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D71DA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33.png"/><Relationship Id="rId41" Type="http://schemas.openxmlformats.org/officeDocument/2006/relationships/image" Target="media/image36.png"/><Relationship Id="rId44" Type="http://schemas.openxmlformats.org/officeDocument/2006/relationships/image" Target="media/image31.png"/><Relationship Id="rId43" Type="http://schemas.openxmlformats.org/officeDocument/2006/relationships/image" Target="media/image28.png"/><Relationship Id="rId46" Type="http://schemas.openxmlformats.org/officeDocument/2006/relationships/image" Target="media/image34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image" Target="media/image11.png"/><Relationship Id="rId47" Type="http://schemas.openxmlformats.org/officeDocument/2006/relationships/image" Target="media/image12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2.png"/><Relationship Id="rId8" Type="http://schemas.openxmlformats.org/officeDocument/2006/relationships/image" Target="media/image14.png"/><Relationship Id="rId31" Type="http://schemas.openxmlformats.org/officeDocument/2006/relationships/image" Target="media/image2.png"/><Relationship Id="rId30" Type="http://schemas.openxmlformats.org/officeDocument/2006/relationships/image" Target="media/image8.png"/><Relationship Id="rId33" Type="http://schemas.openxmlformats.org/officeDocument/2006/relationships/image" Target="media/image23.png"/><Relationship Id="rId32" Type="http://schemas.openxmlformats.org/officeDocument/2006/relationships/image" Target="media/image24.png"/><Relationship Id="rId35" Type="http://schemas.openxmlformats.org/officeDocument/2006/relationships/hyperlink" Target="https://models.govarch.kz/service" TargetMode="External"/><Relationship Id="rId34" Type="http://schemas.openxmlformats.org/officeDocument/2006/relationships/hyperlink" Target="https://models.govarch.kz/kmd" TargetMode="External"/><Relationship Id="rId37" Type="http://schemas.openxmlformats.org/officeDocument/2006/relationships/hyperlink" Target="https://models.govarch.kz/service" TargetMode="External"/><Relationship Id="rId36" Type="http://schemas.openxmlformats.org/officeDocument/2006/relationships/image" Target="media/image18.png"/><Relationship Id="rId39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hyperlink" Target="https://models.govarch.kz/" TargetMode="External"/><Relationship Id="rId22" Type="http://schemas.openxmlformats.org/officeDocument/2006/relationships/image" Target="media/image3.png"/><Relationship Id="rId21" Type="http://schemas.openxmlformats.org/officeDocument/2006/relationships/image" Target="media/image30.png"/><Relationship Id="rId24" Type="http://schemas.openxmlformats.org/officeDocument/2006/relationships/image" Target="media/image7.png"/><Relationship Id="rId23" Type="http://schemas.openxmlformats.org/officeDocument/2006/relationships/hyperlink" Target="https://adilet.zan.kz/rus/docs/Z1400000194" TargetMode="External"/><Relationship Id="rId26" Type="http://schemas.openxmlformats.org/officeDocument/2006/relationships/image" Target="media/image37.png"/><Relationship Id="rId25" Type="http://schemas.openxmlformats.org/officeDocument/2006/relationships/image" Target="media/image35.png"/><Relationship Id="rId28" Type="http://schemas.openxmlformats.org/officeDocument/2006/relationships/image" Target="media/image4.png"/><Relationship Id="rId27" Type="http://schemas.openxmlformats.org/officeDocument/2006/relationships/image" Target="media/image20.png"/><Relationship Id="rId29" Type="http://schemas.openxmlformats.org/officeDocument/2006/relationships/image" Target="media/image19.png"/><Relationship Id="rId51" Type="http://schemas.openxmlformats.org/officeDocument/2006/relationships/hyperlink" Target="https://models.govarch.kz/service" TargetMode="External"/><Relationship Id="rId50" Type="http://schemas.openxmlformats.org/officeDocument/2006/relationships/image" Target="media/image26.png"/><Relationship Id="rId11" Type="http://schemas.openxmlformats.org/officeDocument/2006/relationships/image" Target="media/image17.png"/><Relationship Id="rId10" Type="http://schemas.openxmlformats.org/officeDocument/2006/relationships/image" Target="media/image21.png"/><Relationship Id="rId13" Type="http://schemas.openxmlformats.org/officeDocument/2006/relationships/image" Target="media/image25.png"/><Relationship Id="rId12" Type="http://schemas.openxmlformats.org/officeDocument/2006/relationships/image" Target="media/image29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38.png"/><Relationship Id="rId16" Type="http://schemas.openxmlformats.org/officeDocument/2006/relationships/hyperlink" Target="https://models.govarch.kz/map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2OR3NppvEwKWyNtdTG8rCcBTlQ==">CgMxLjAaHwoBMBIaChgICVIUChJ0YWJsZS54cm85ajRkbW16NTM4AHIhMWJ2eG12X0RILTg2bERxUGxuMFJ6NkFjTVpFX3BOaGVQ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2025-04-08T04:41:00Z</dcterms:created>
  <dc:creator>Азамат Калиев</dc:creator>
</cp:coreProperties>
</file>