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37C66" w14:textId="77777777" w:rsidR="00CB6900" w:rsidRPr="00DC6873" w:rsidRDefault="00CB6900" w:rsidP="00DC6873">
      <w:pPr>
        <w:spacing w:after="0" w:line="480" w:lineRule="auto"/>
        <w:jc w:val="center"/>
        <w:rPr>
          <w:rFonts w:ascii="Times New Roman" w:hAnsi="Times New Roman" w:cs="Times New Roman"/>
        </w:rPr>
      </w:pPr>
    </w:p>
    <w:p w14:paraId="5DCEF4CC" w14:textId="77777777" w:rsidR="00CB6900" w:rsidRPr="00DC6873" w:rsidRDefault="00CB6900" w:rsidP="00DC6873">
      <w:pPr>
        <w:spacing w:after="0" w:line="480" w:lineRule="auto"/>
        <w:jc w:val="center"/>
        <w:rPr>
          <w:rFonts w:ascii="Times New Roman" w:hAnsi="Times New Roman" w:cs="Times New Roman"/>
        </w:rPr>
      </w:pPr>
    </w:p>
    <w:p w14:paraId="6A946246" w14:textId="77777777" w:rsidR="00CB6900" w:rsidRPr="00DC6873" w:rsidRDefault="00CB6900" w:rsidP="00DC6873">
      <w:pPr>
        <w:spacing w:after="0" w:line="480" w:lineRule="auto"/>
        <w:jc w:val="center"/>
        <w:rPr>
          <w:rFonts w:ascii="Times New Roman" w:hAnsi="Times New Roman" w:cs="Times New Roman"/>
        </w:rPr>
      </w:pPr>
    </w:p>
    <w:p w14:paraId="44FD1738" w14:textId="77777777" w:rsidR="00CB6900" w:rsidRPr="00DC6873" w:rsidRDefault="00CB6900" w:rsidP="00DC6873">
      <w:pPr>
        <w:spacing w:after="0" w:line="480" w:lineRule="auto"/>
        <w:jc w:val="center"/>
        <w:rPr>
          <w:rFonts w:ascii="Times New Roman" w:hAnsi="Times New Roman" w:cs="Times New Roman"/>
        </w:rPr>
      </w:pPr>
    </w:p>
    <w:p w14:paraId="449AC9CD" w14:textId="77777777" w:rsidR="00CB6900" w:rsidRPr="00DC6873" w:rsidRDefault="00CB6900" w:rsidP="00DC6873">
      <w:pPr>
        <w:spacing w:after="0" w:line="480" w:lineRule="auto"/>
        <w:jc w:val="center"/>
        <w:rPr>
          <w:rFonts w:ascii="Times New Roman" w:hAnsi="Times New Roman" w:cs="Times New Roman"/>
        </w:rPr>
      </w:pPr>
    </w:p>
    <w:p w14:paraId="0C57ABCF" w14:textId="77777777" w:rsidR="00CB6900" w:rsidRPr="00DC6873" w:rsidRDefault="00CB6900" w:rsidP="00DC6873">
      <w:pPr>
        <w:spacing w:after="0" w:line="480" w:lineRule="auto"/>
        <w:jc w:val="center"/>
        <w:rPr>
          <w:rFonts w:ascii="Times New Roman" w:hAnsi="Times New Roman" w:cs="Times New Roman"/>
        </w:rPr>
      </w:pPr>
    </w:p>
    <w:p w14:paraId="74BDB86B" w14:textId="77777777" w:rsidR="00CB6900" w:rsidRPr="00DC6873" w:rsidRDefault="00CB6900" w:rsidP="00DC6873">
      <w:pPr>
        <w:spacing w:after="0" w:line="480" w:lineRule="auto"/>
        <w:jc w:val="center"/>
        <w:rPr>
          <w:rFonts w:ascii="Times New Roman" w:hAnsi="Times New Roman" w:cs="Times New Roman"/>
        </w:rPr>
      </w:pPr>
    </w:p>
    <w:p w14:paraId="0C8702A8" w14:textId="77777777" w:rsidR="00CB6900" w:rsidRPr="00DC6873" w:rsidRDefault="00CB6900" w:rsidP="00DC6873">
      <w:pPr>
        <w:spacing w:after="0" w:line="480" w:lineRule="auto"/>
        <w:jc w:val="center"/>
        <w:rPr>
          <w:rFonts w:ascii="Times New Roman" w:hAnsi="Times New Roman" w:cs="Times New Roman"/>
        </w:rPr>
      </w:pPr>
      <w:r w:rsidRPr="00CB6900">
        <w:rPr>
          <w:rFonts w:ascii="Times New Roman" w:hAnsi="Times New Roman" w:cs="Times New Roman"/>
        </w:rPr>
        <w:t>The Testing Techniques, Types, and Levels Interactive Assignment paper</w:t>
      </w:r>
    </w:p>
    <w:p w14:paraId="70145DA0" w14:textId="21351583" w:rsidR="00CB6900" w:rsidRPr="00DC6873" w:rsidRDefault="00CB6900" w:rsidP="00DC6873">
      <w:pPr>
        <w:spacing w:after="0" w:line="480" w:lineRule="auto"/>
        <w:jc w:val="center"/>
        <w:rPr>
          <w:rFonts w:ascii="Times New Roman" w:hAnsi="Times New Roman" w:cs="Times New Roman"/>
        </w:rPr>
      </w:pPr>
      <w:r w:rsidRPr="00DC6873">
        <w:rPr>
          <w:rFonts w:ascii="Times New Roman" w:hAnsi="Times New Roman" w:cs="Times New Roman"/>
        </w:rPr>
        <w:t>Madjany Lamour</w:t>
      </w:r>
    </w:p>
    <w:p w14:paraId="5858B1F1" w14:textId="77777777" w:rsidR="00CB6900" w:rsidRPr="00DC6873" w:rsidRDefault="00CB6900" w:rsidP="00DC6873">
      <w:pPr>
        <w:spacing w:after="0" w:line="480" w:lineRule="auto"/>
        <w:jc w:val="center"/>
        <w:rPr>
          <w:rFonts w:ascii="Times New Roman" w:hAnsi="Times New Roman" w:cs="Times New Roman"/>
        </w:rPr>
      </w:pPr>
      <w:r w:rsidRPr="00DC6873">
        <w:rPr>
          <w:rFonts w:ascii="Times New Roman" w:hAnsi="Times New Roman" w:cs="Times New Roman"/>
        </w:rPr>
        <w:t>University of Arizona Global Campus</w:t>
      </w:r>
    </w:p>
    <w:p w14:paraId="5DAF5D44" w14:textId="77777777" w:rsidR="00CB6900" w:rsidRPr="00DC6873" w:rsidRDefault="00CB6900" w:rsidP="00DC6873">
      <w:pPr>
        <w:spacing w:after="0" w:line="480" w:lineRule="auto"/>
        <w:jc w:val="center"/>
        <w:rPr>
          <w:rFonts w:ascii="Times New Roman" w:hAnsi="Times New Roman" w:cs="Times New Roman"/>
        </w:rPr>
      </w:pPr>
      <w:r w:rsidRPr="00DC6873">
        <w:rPr>
          <w:rFonts w:ascii="Times New Roman" w:hAnsi="Times New Roman" w:cs="Times New Roman"/>
        </w:rPr>
        <w:t>CST 499: Capstone for Computer Software Technology</w:t>
      </w:r>
    </w:p>
    <w:p w14:paraId="2B99D711" w14:textId="77777777" w:rsidR="00CB6900" w:rsidRPr="00DC6873" w:rsidRDefault="00CB6900" w:rsidP="00DC6873">
      <w:pPr>
        <w:spacing w:after="0" w:line="480" w:lineRule="auto"/>
        <w:jc w:val="center"/>
        <w:rPr>
          <w:rFonts w:ascii="Times New Roman" w:hAnsi="Times New Roman" w:cs="Times New Roman"/>
        </w:rPr>
      </w:pPr>
      <w:r w:rsidRPr="00DC6873">
        <w:rPr>
          <w:rFonts w:ascii="Times New Roman" w:hAnsi="Times New Roman" w:cs="Times New Roman"/>
        </w:rPr>
        <w:t>Professor Joseph Rangitsch</w:t>
      </w:r>
    </w:p>
    <w:p w14:paraId="47DC6717" w14:textId="42C719BE" w:rsidR="00CB6900" w:rsidRPr="00DC6873" w:rsidRDefault="00CB6900" w:rsidP="00DC6873">
      <w:pPr>
        <w:spacing w:after="0" w:line="480" w:lineRule="auto"/>
        <w:jc w:val="center"/>
        <w:rPr>
          <w:rFonts w:ascii="Times New Roman" w:hAnsi="Times New Roman" w:cs="Times New Roman"/>
        </w:rPr>
      </w:pPr>
      <w:r w:rsidRPr="00DC6873">
        <w:rPr>
          <w:rFonts w:ascii="Times New Roman" w:hAnsi="Times New Roman" w:cs="Times New Roman"/>
        </w:rPr>
        <w:t>May 2</w:t>
      </w:r>
      <w:r w:rsidRPr="00DC6873">
        <w:rPr>
          <w:rFonts w:ascii="Times New Roman" w:hAnsi="Times New Roman" w:cs="Times New Roman"/>
        </w:rPr>
        <w:t>9</w:t>
      </w:r>
      <w:r w:rsidRPr="00DC6873">
        <w:rPr>
          <w:rFonts w:ascii="Times New Roman" w:hAnsi="Times New Roman" w:cs="Times New Roman"/>
        </w:rPr>
        <w:t>, 2025</w:t>
      </w:r>
    </w:p>
    <w:p w14:paraId="26AD8EED" w14:textId="4B24F3FF" w:rsidR="00CB6900" w:rsidRPr="00DC6873" w:rsidRDefault="00CB6900" w:rsidP="00DC6873">
      <w:pPr>
        <w:spacing w:line="480" w:lineRule="auto"/>
        <w:rPr>
          <w:rFonts w:ascii="Times New Roman" w:hAnsi="Times New Roman" w:cs="Times New Roman"/>
        </w:rPr>
      </w:pPr>
    </w:p>
    <w:p w14:paraId="63B15F91" w14:textId="77777777" w:rsidR="00CB6900" w:rsidRPr="00DC6873" w:rsidRDefault="00CB6900" w:rsidP="00DC6873">
      <w:pPr>
        <w:spacing w:line="480" w:lineRule="auto"/>
        <w:rPr>
          <w:rFonts w:ascii="Times New Roman" w:hAnsi="Times New Roman" w:cs="Times New Roman"/>
        </w:rPr>
      </w:pPr>
      <w:r w:rsidRPr="00DC6873">
        <w:rPr>
          <w:rFonts w:ascii="Times New Roman" w:hAnsi="Times New Roman" w:cs="Times New Roman"/>
        </w:rPr>
        <w:br w:type="page"/>
      </w:r>
    </w:p>
    <w:p w14:paraId="6B1FC9D2" w14:textId="77777777" w:rsidR="00CB6900" w:rsidRPr="00CB6900" w:rsidRDefault="00CB6900" w:rsidP="00DC6873">
      <w:pPr>
        <w:spacing w:line="480" w:lineRule="auto"/>
        <w:rPr>
          <w:rFonts w:ascii="Times New Roman" w:hAnsi="Times New Roman" w:cs="Times New Roman"/>
        </w:rPr>
      </w:pPr>
      <w:r w:rsidRPr="00CB6900">
        <w:rPr>
          <w:rFonts w:ascii="Times New Roman" w:hAnsi="Times New Roman" w:cs="Times New Roman"/>
        </w:rPr>
        <w:lastRenderedPageBreak/>
        <w:t>determining the right time to stop testing depends on several factors including test coverage, defect density, risk assessment, and project constraints.</w:t>
      </w:r>
    </w:p>
    <w:p w14:paraId="195ACADB" w14:textId="30CC51CA" w:rsidR="007F79F8" w:rsidRPr="00DC6873" w:rsidRDefault="00CB6900" w:rsidP="00DC6873">
      <w:pPr>
        <w:spacing w:line="480" w:lineRule="auto"/>
        <w:rPr>
          <w:rFonts w:ascii="Times New Roman" w:hAnsi="Times New Roman" w:cs="Times New Roman"/>
        </w:rPr>
      </w:pPr>
      <w:r w:rsidRPr="00DC6873">
        <w:rPr>
          <w:rFonts w:ascii="Times New Roman" w:hAnsi="Times New Roman" w:cs="Times New Roman"/>
        </w:rPr>
        <w:t xml:space="preserve">Analyzing quantitative data is one of the most accurate methods for determining when to end testing. Code coverage data is a useful indication since it shows how much of the source code has been executed by tests. High coverage (greater than 80%) is frequently used as a benchmark, while the appropriate proportion varies based on the complexity and criticality of the application. Another helpful statistic is fault discovery rate. As testing continues, the </w:t>
      </w:r>
      <w:proofErr w:type="gramStart"/>
      <w:r w:rsidRPr="00DC6873">
        <w:rPr>
          <w:rFonts w:ascii="Times New Roman" w:hAnsi="Times New Roman" w:cs="Times New Roman"/>
        </w:rPr>
        <w:t>amount</w:t>
      </w:r>
      <w:proofErr w:type="gramEnd"/>
      <w:r w:rsidRPr="00DC6873">
        <w:rPr>
          <w:rFonts w:ascii="Times New Roman" w:hAnsi="Times New Roman" w:cs="Times New Roman"/>
        </w:rPr>
        <w:t xml:space="preserve"> of new problems discovered every testing cycle often declines. A continuous drop in defect detection indicates that </w:t>
      </w:r>
      <w:proofErr w:type="gramStart"/>
      <w:r w:rsidRPr="00DC6873">
        <w:rPr>
          <w:rFonts w:ascii="Times New Roman" w:hAnsi="Times New Roman" w:cs="Times New Roman"/>
        </w:rPr>
        <w:t>the majority of</w:t>
      </w:r>
      <w:proofErr w:type="gramEnd"/>
      <w:r w:rsidRPr="00DC6873">
        <w:rPr>
          <w:rFonts w:ascii="Times New Roman" w:hAnsi="Times New Roman" w:cs="Times New Roman"/>
        </w:rPr>
        <w:t xml:space="preserve"> serious issues have been identified. </w:t>
      </w:r>
      <w:r w:rsidRPr="00DC6873">
        <w:rPr>
          <w:rFonts w:ascii="Times New Roman" w:hAnsi="Times New Roman" w:cs="Times New Roman"/>
        </w:rPr>
        <w:t>A</w:t>
      </w:r>
      <w:r w:rsidRPr="00DC6873">
        <w:rPr>
          <w:rFonts w:ascii="Times New Roman" w:hAnsi="Times New Roman" w:cs="Times New Roman"/>
        </w:rPr>
        <w:t xml:space="preserve">fter all functional and non-functional requirements have been confirmed and the findings fulfill pre-established standards, testing operations may be concluded </w:t>
      </w:r>
      <w:r w:rsidRPr="00DC6873">
        <w:rPr>
          <w:rFonts w:ascii="Times New Roman" w:hAnsi="Times New Roman" w:cs="Times New Roman"/>
        </w:rPr>
        <w:t>accurately (NIST, 2002)</w:t>
      </w:r>
      <w:r w:rsidRPr="00DC6873">
        <w:rPr>
          <w:rFonts w:ascii="Times New Roman" w:hAnsi="Times New Roman" w:cs="Times New Roman"/>
        </w:rPr>
        <w:t>.</w:t>
      </w:r>
    </w:p>
    <w:p w14:paraId="741FC838" w14:textId="3B75B0F7" w:rsidR="00CB6900" w:rsidRPr="00DC6873" w:rsidRDefault="00CB6900" w:rsidP="00DC6873">
      <w:pPr>
        <w:spacing w:line="480" w:lineRule="auto"/>
        <w:rPr>
          <w:rFonts w:ascii="Times New Roman" w:hAnsi="Times New Roman" w:cs="Times New Roman"/>
        </w:rPr>
      </w:pPr>
      <w:r w:rsidRPr="00DC6873">
        <w:rPr>
          <w:rFonts w:ascii="Times New Roman" w:hAnsi="Times New Roman" w:cs="Times New Roman"/>
        </w:rPr>
        <w:t>Testing in software development occurs at several levels, each focusing on a distinct component of the system.  Unit testing is the first level, which focuses on validating individual components in isolation.  This level is often handled by developers and entails evaluating the internal logic of the code.  The goal of integration testing is to guarantee that components or systems interact appropriately.  At the system testing level, the software is evaluated as a full, integrated product to ensure that it fits the requirements.  Finally, acceptability testing is conducted from the user's perspective to ensure that the system performs as intended in real-world circumstances.</w:t>
      </w:r>
    </w:p>
    <w:p w14:paraId="764A871E" w14:textId="7FE9FED5" w:rsidR="00CB6900" w:rsidRPr="00DC6873" w:rsidRDefault="00DC6873" w:rsidP="00DC6873">
      <w:pPr>
        <w:spacing w:line="480" w:lineRule="auto"/>
        <w:rPr>
          <w:rFonts w:ascii="Times New Roman" w:hAnsi="Times New Roman" w:cs="Times New Roman"/>
        </w:rPr>
      </w:pPr>
      <w:r w:rsidRPr="00DC6873">
        <w:rPr>
          <w:rFonts w:ascii="Times New Roman" w:hAnsi="Times New Roman" w:cs="Times New Roman"/>
        </w:rPr>
        <w:t xml:space="preserve">Static testing includes inspecting code or documentation without running the application. This covers things like code reviews and walkthroughs. In contrast, dynamic testing necessitates running the software and watching its behavior. Manual testing is carried out by human testers without the assistance of automation tools, whereas automated testing uses scripts and testing frameworks to run tests frequently and quickly. Black-box testing focuses on input and output </w:t>
      </w:r>
      <w:r w:rsidRPr="00DC6873">
        <w:rPr>
          <w:rFonts w:ascii="Times New Roman" w:hAnsi="Times New Roman" w:cs="Times New Roman"/>
        </w:rPr>
        <w:lastRenderedPageBreak/>
        <w:t>behavior without examining internal code structure, whereas white-box testing examines internal logic and code routes.</w:t>
      </w:r>
    </w:p>
    <w:p w14:paraId="540E2FE6" w14:textId="2F724C27" w:rsidR="00DC6873" w:rsidRPr="00DC6873" w:rsidRDefault="00DC6873" w:rsidP="00DC6873">
      <w:pPr>
        <w:spacing w:line="480" w:lineRule="auto"/>
        <w:rPr>
          <w:rFonts w:ascii="Times New Roman" w:hAnsi="Times New Roman" w:cs="Times New Roman"/>
        </w:rPr>
      </w:pPr>
      <w:r w:rsidRPr="00DC6873">
        <w:rPr>
          <w:rFonts w:ascii="Times New Roman" w:hAnsi="Times New Roman" w:cs="Times New Roman"/>
        </w:rPr>
        <w:t xml:space="preserve">Coverage statistics are a crucial consideration to </w:t>
      </w:r>
      <w:r w:rsidRPr="00DC6873">
        <w:rPr>
          <w:rFonts w:ascii="Times New Roman" w:hAnsi="Times New Roman" w:cs="Times New Roman"/>
        </w:rPr>
        <w:t>consider</w:t>
      </w:r>
      <w:r w:rsidRPr="00DC6873">
        <w:rPr>
          <w:rFonts w:ascii="Times New Roman" w:hAnsi="Times New Roman" w:cs="Times New Roman"/>
        </w:rPr>
        <w:t xml:space="preserve"> when deciding when to stop testing. The statement coverage ensures that </w:t>
      </w:r>
      <w:proofErr w:type="gramStart"/>
      <w:r w:rsidRPr="00DC6873">
        <w:rPr>
          <w:rFonts w:ascii="Times New Roman" w:hAnsi="Times New Roman" w:cs="Times New Roman"/>
        </w:rPr>
        <w:t>each and every</w:t>
      </w:r>
      <w:proofErr w:type="gramEnd"/>
      <w:r w:rsidRPr="00DC6873">
        <w:rPr>
          <w:rFonts w:ascii="Times New Roman" w:hAnsi="Times New Roman" w:cs="Times New Roman"/>
        </w:rPr>
        <w:t xml:space="preserve"> line of code has been executed during testing, in contrast to the branch coverage, which analyzes </w:t>
      </w:r>
      <w:proofErr w:type="gramStart"/>
      <w:r w:rsidRPr="00DC6873">
        <w:rPr>
          <w:rFonts w:ascii="Times New Roman" w:hAnsi="Times New Roman" w:cs="Times New Roman"/>
        </w:rPr>
        <w:t>all of</w:t>
      </w:r>
      <w:proofErr w:type="gramEnd"/>
      <w:r w:rsidRPr="00DC6873">
        <w:rPr>
          <w:rFonts w:ascii="Times New Roman" w:hAnsi="Times New Roman" w:cs="Times New Roman"/>
        </w:rPr>
        <w:t xml:space="preserve"> the possible decision paths included within the code. Path coverage goes one step further by evaluating </w:t>
      </w:r>
      <w:r w:rsidRPr="00DC6873">
        <w:rPr>
          <w:rFonts w:ascii="Times New Roman" w:hAnsi="Times New Roman" w:cs="Times New Roman"/>
        </w:rPr>
        <w:t>every</w:t>
      </w:r>
      <w:r w:rsidRPr="00DC6873">
        <w:rPr>
          <w:rFonts w:ascii="Times New Roman" w:hAnsi="Times New Roman" w:cs="Times New Roman"/>
        </w:rPr>
        <w:t xml:space="preserve"> possible execution path, </w:t>
      </w:r>
      <w:proofErr w:type="gramStart"/>
      <w:r w:rsidRPr="00DC6873">
        <w:rPr>
          <w:rFonts w:ascii="Times New Roman" w:hAnsi="Times New Roman" w:cs="Times New Roman"/>
        </w:rPr>
        <w:t>despite the fact that</w:t>
      </w:r>
      <w:proofErr w:type="gramEnd"/>
      <w:r w:rsidRPr="00DC6873">
        <w:rPr>
          <w:rFonts w:ascii="Times New Roman" w:hAnsi="Times New Roman" w:cs="Times New Roman"/>
        </w:rPr>
        <w:t xml:space="preserve"> it is frequently hard to find full route coverage in complex systems. When the coverage metrics reach acceptable levels</w:t>
      </w:r>
      <w:r w:rsidRPr="00DC6873">
        <w:rPr>
          <w:rFonts w:ascii="Times New Roman" w:hAnsi="Times New Roman" w:cs="Times New Roman"/>
        </w:rPr>
        <w:t>,</w:t>
      </w:r>
      <w:r w:rsidRPr="00DC6873">
        <w:rPr>
          <w:rFonts w:ascii="Times New Roman" w:hAnsi="Times New Roman" w:cs="Times New Roman"/>
        </w:rPr>
        <w:t xml:space="preserve"> and there are no noticeable new defects being discovered, teams may then decide that the application has been sufficiently tested. On the other hand, it is essential to remember that having a large amount of coverage does not automatically mean that the program is of excellent quality. This must be backed up by proper validation of </w:t>
      </w:r>
      <w:proofErr w:type="gramStart"/>
      <w:r w:rsidRPr="00DC6873">
        <w:rPr>
          <w:rFonts w:ascii="Times New Roman" w:hAnsi="Times New Roman" w:cs="Times New Roman"/>
        </w:rPr>
        <w:t>all of</w:t>
      </w:r>
      <w:proofErr w:type="gramEnd"/>
      <w:r w:rsidRPr="00DC6873">
        <w:rPr>
          <w:rFonts w:ascii="Times New Roman" w:hAnsi="Times New Roman" w:cs="Times New Roman"/>
        </w:rPr>
        <w:t xml:space="preserve"> the requirements and test cases that are pertinent to the situation.</w:t>
      </w:r>
    </w:p>
    <w:p w14:paraId="0393353A" w14:textId="77777777" w:rsidR="00DC6873" w:rsidRDefault="00DC6873" w:rsidP="00DC6873">
      <w:pPr>
        <w:spacing w:line="480" w:lineRule="auto"/>
        <w:rPr>
          <w:rFonts w:ascii="Times New Roman" w:hAnsi="Times New Roman" w:cs="Times New Roman"/>
        </w:rPr>
      </w:pPr>
    </w:p>
    <w:p w14:paraId="2577C8EA" w14:textId="77777777" w:rsidR="00DC6873" w:rsidRDefault="00DC6873">
      <w:pPr>
        <w:rPr>
          <w:rFonts w:ascii="Times New Roman" w:hAnsi="Times New Roman" w:cs="Times New Roman"/>
        </w:rPr>
      </w:pPr>
      <w:r>
        <w:rPr>
          <w:rFonts w:ascii="Times New Roman" w:hAnsi="Times New Roman" w:cs="Times New Roman"/>
        </w:rPr>
        <w:br w:type="page"/>
      </w:r>
    </w:p>
    <w:p w14:paraId="26CF457E" w14:textId="77777777" w:rsidR="00DC6873" w:rsidRDefault="00DC6873" w:rsidP="00DC6873">
      <w:pPr>
        <w:spacing w:line="480" w:lineRule="auto"/>
        <w:rPr>
          <w:rFonts w:ascii="Times New Roman" w:hAnsi="Times New Roman" w:cs="Times New Roman"/>
        </w:rPr>
      </w:pPr>
    </w:p>
    <w:p w14:paraId="0EC14D08" w14:textId="72A184A8" w:rsidR="00DC6873" w:rsidRPr="00DC6873" w:rsidRDefault="00DC6873" w:rsidP="00DC6873">
      <w:pPr>
        <w:jc w:val="center"/>
        <w:rPr>
          <w:rFonts w:ascii="Times New Roman" w:hAnsi="Times New Roman" w:cs="Times New Roman"/>
        </w:rPr>
      </w:pPr>
      <w:r w:rsidRPr="00DC6873">
        <w:rPr>
          <w:rFonts w:ascii="Times New Roman" w:hAnsi="Times New Roman" w:cs="Times New Roman"/>
        </w:rPr>
        <w:t>References:</w:t>
      </w:r>
    </w:p>
    <w:p w14:paraId="6B921658" w14:textId="684571E0" w:rsidR="00DC6873" w:rsidRDefault="00DC6873" w:rsidP="00DC6873">
      <w:pPr>
        <w:spacing w:line="480" w:lineRule="auto"/>
        <w:rPr>
          <w:rFonts w:ascii="Times New Roman" w:hAnsi="Times New Roman" w:cs="Times New Roman"/>
        </w:rPr>
      </w:pPr>
      <w:r w:rsidRPr="00DC6873">
        <w:rPr>
          <w:rFonts w:ascii="Times New Roman" w:hAnsi="Times New Roman" w:cs="Times New Roman"/>
        </w:rPr>
        <w:t>Tsui, F., Karam, O., &amp; Bernal, B. (2018). Essentials of software engineering (4th ed.). Jones &amp; Bartlett Learning.</w:t>
      </w:r>
    </w:p>
    <w:p w14:paraId="24B80F3F" w14:textId="0956F6C4" w:rsidR="00AA1D60" w:rsidRDefault="00AA1D60" w:rsidP="00DC6873">
      <w:pPr>
        <w:spacing w:line="480" w:lineRule="auto"/>
        <w:rPr>
          <w:rFonts w:ascii="Times New Roman" w:hAnsi="Times New Roman" w:cs="Times New Roman"/>
        </w:rPr>
      </w:pPr>
      <w:r w:rsidRPr="00AA1D60">
        <w:rPr>
          <w:rFonts w:ascii="Times New Roman" w:hAnsi="Times New Roman" w:cs="Times New Roman"/>
        </w:rPr>
        <w:t>Wang, X., Sun, W., Hu, L., Zhao, Y., Wong, W. E., &amp; Chen, Z. (2019). </w:t>
      </w:r>
      <w:hyperlink r:id="rId4" w:tgtFrame="_blank" w:tooltip="Software-testing contests: Observations and lessons learned" w:history="1">
        <w:r w:rsidRPr="00AA1D60">
          <w:rPr>
            <w:rStyle w:val="Hyperlink"/>
            <w:rFonts w:ascii="Times New Roman" w:hAnsi="Times New Roman" w:cs="Times New Roman"/>
          </w:rPr>
          <w:t>Software-testing contests: Observations and lessons learnedLinks to an external site.</w:t>
        </w:r>
      </w:hyperlink>
      <w:r w:rsidRPr="00AA1D60">
        <w:rPr>
          <w:rFonts w:ascii="Times New Roman" w:hAnsi="Times New Roman" w:cs="Times New Roman"/>
        </w:rPr>
        <w:t>. </w:t>
      </w:r>
      <w:r w:rsidRPr="00AA1D60">
        <w:rPr>
          <w:rFonts w:ascii="Times New Roman" w:hAnsi="Times New Roman" w:cs="Times New Roman"/>
          <w:i/>
          <w:iCs/>
        </w:rPr>
        <w:t>Computer</w:t>
      </w:r>
      <w:r w:rsidRPr="00AA1D60">
        <w:rPr>
          <w:rFonts w:ascii="Times New Roman" w:hAnsi="Times New Roman" w:cs="Times New Roman"/>
        </w:rPr>
        <w:t>, </w:t>
      </w:r>
      <w:r w:rsidRPr="00AA1D60">
        <w:rPr>
          <w:rFonts w:ascii="Times New Roman" w:hAnsi="Times New Roman" w:cs="Times New Roman"/>
          <w:i/>
          <w:iCs/>
        </w:rPr>
        <w:t>52</w:t>
      </w:r>
      <w:r w:rsidRPr="00AA1D60">
        <w:rPr>
          <w:rFonts w:ascii="Times New Roman" w:hAnsi="Times New Roman" w:cs="Times New Roman"/>
        </w:rPr>
        <w:t xml:space="preserve">(10), 61–69. </w:t>
      </w:r>
      <w:hyperlink r:id="rId5" w:history="1">
        <w:r w:rsidRPr="00EE7285">
          <w:rPr>
            <w:rStyle w:val="Hyperlink"/>
            <w:rFonts w:ascii="Times New Roman" w:hAnsi="Times New Roman" w:cs="Times New Roman"/>
          </w:rPr>
          <w:t>https://doi.org/10.1109/MC.2019.2905533</w:t>
        </w:r>
      </w:hyperlink>
    </w:p>
    <w:p w14:paraId="465D3734" w14:textId="77777777" w:rsidR="00AA1D60" w:rsidRPr="00AA1D60" w:rsidRDefault="00AA1D60" w:rsidP="00AA1D60">
      <w:pPr>
        <w:spacing w:line="480" w:lineRule="auto"/>
        <w:rPr>
          <w:rFonts w:ascii="Times New Roman" w:hAnsi="Times New Roman" w:cs="Times New Roman"/>
        </w:rPr>
      </w:pPr>
      <w:r w:rsidRPr="00AA1D60">
        <w:rPr>
          <w:rFonts w:ascii="Times New Roman" w:hAnsi="Times New Roman" w:cs="Times New Roman"/>
        </w:rPr>
        <w:t>Beizer, B. (1995). </w:t>
      </w:r>
      <w:r w:rsidRPr="00AA1D60">
        <w:rPr>
          <w:rFonts w:ascii="Times New Roman" w:hAnsi="Times New Roman" w:cs="Times New Roman"/>
          <w:i/>
          <w:iCs/>
        </w:rPr>
        <w:t>Software Testing Techniques</w:t>
      </w:r>
      <w:r w:rsidRPr="00AA1D60">
        <w:rPr>
          <w:rFonts w:ascii="Times New Roman" w:hAnsi="Times New Roman" w:cs="Times New Roman"/>
        </w:rPr>
        <w:t> (2nd ed.). Van Nostrand Reinhold.</w:t>
      </w:r>
    </w:p>
    <w:p w14:paraId="011B9B3D" w14:textId="77777777" w:rsidR="00AA1D60" w:rsidRPr="00AA1D60" w:rsidRDefault="00AA1D60" w:rsidP="00AA1D60">
      <w:pPr>
        <w:spacing w:line="480" w:lineRule="auto"/>
        <w:rPr>
          <w:rFonts w:ascii="Times New Roman" w:hAnsi="Times New Roman" w:cs="Times New Roman"/>
        </w:rPr>
      </w:pPr>
      <w:r w:rsidRPr="00AA1D60">
        <w:rPr>
          <w:rFonts w:ascii="Times New Roman" w:hAnsi="Times New Roman" w:cs="Times New Roman"/>
        </w:rPr>
        <w:t>Myers, G. J., Sandler, C., &amp; Badgett, T. (2011). </w:t>
      </w:r>
      <w:r w:rsidRPr="00AA1D60">
        <w:rPr>
          <w:rFonts w:ascii="Times New Roman" w:hAnsi="Times New Roman" w:cs="Times New Roman"/>
          <w:i/>
          <w:iCs/>
        </w:rPr>
        <w:t>The Art of Software Testing</w:t>
      </w:r>
      <w:r w:rsidRPr="00AA1D60">
        <w:rPr>
          <w:rFonts w:ascii="Times New Roman" w:hAnsi="Times New Roman" w:cs="Times New Roman"/>
        </w:rPr>
        <w:t> (3rd ed.). Wiley.</w:t>
      </w:r>
    </w:p>
    <w:p w14:paraId="1B1F225E" w14:textId="77777777" w:rsidR="00AA1D60" w:rsidRPr="00AA1D60" w:rsidRDefault="00AA1D60" w:rsidP="00AA1D60">
      <w:pPr>
        <w:spacing w:line="480" w:lineRule="auto"/>
        <w:rPr>
          <w:rFonts w:ascii="Times New Roman" w:hAnsi="Times New Roman" w:cs="Times New Roman"/>
        </w:rPr>
      </w:pPr>
      <w:r w:rsidRPr="00AA1D60">
        <w:rPr>
          <w:rFonts w:ascii="Times New Roman" w:hAnsi="Times New Roman" w:cs="Times New Roman"/>
        </w:rPr>
        <w:t>National Institute of Standards and Technology (NIST). (2022). </w:t>
      </w:r>
      <w:r w:rsidRPr="00AA1D60">
        <w:rPr>
          <w:rFonts w:ascii="Times New Roman" w:hAnsi="Times New Roman" w:cs="Times New Roman"/>
          <w:i/>
          <w:iCs/>
        </w:rPr>
        <w:t>Software Assurance Metrics and Tool Evaluation (SAMATE)</w:t>
      </w:r>
      <w:r w:rsidRPr="00AA1D60">
        <w:rPr>
          <w:rFonts w:ascii="Times New Roman" w:hAnsi="Times New Roman" w:cs="Times New Roman"/>
        </w:rPr>
        <w:t>. </w:t>
      </w:r>
      <w:hyperlink r:id="rId6" w:tgtFrame="_new" w:history="1">
        <w:r w:rsidRPr="00AA1D60">
          <w:rPr>
            <w:rStyle w:val="Hyperlink"/>
            <w:rFonts w:ascii="Times New Roman" w:hAnsi="Times New Roman" w:cs="Times New Roman"/>
          </w:rPr>
          <w:t>https://samate.nist.gov</w:t>
        </w:r>
      </w:hyperlink>
    </w:p>
    <w:p w14:paraId="14763443" w14:textId="77777777" w:rsidR="00AA1D60" w:rsidRPr="00AA1D60" w:rsidRDefault="00AA1D60" w:rsidP="00AA1D60">
      <w:pPr>
        <w:spacing w:line="480" w:lineRule="auto"/>
        <w:rPr>
          <w:rFonts w:ascii="Times New Roman" w:hAnsi="Times New Roman" w:cs="Times New Roman"/>
        </w:rPr>
      </w:pPr>
      <w:r w:rsidRPr="00AA1D60">
        <w:rPr>
          <w:rFonts w:ascii="Times New Roman" w:hAnsi="Times New Roman" w:cs="Times New Roman"/>
        </w:rPr>
        <w:t>IEEE. (2014). </w:t>
      </w:r>
      <w:r w:rsidRPr="00AA1D60">
        <w:rPr>
          <w:rFonts w:ascii="Times New Roman" w:hAnsi="Times New Roman" w:cs="Times New Roman"/>
          <w:i/>
          <w:iCs/>
        </w:rPr>
        <w:t>IEEE Standard for Software and System Test Documentation</w:t>
      </w:r>
      <w:r w:rsidRPr="00AA1D60">
        <w:rPr>
          <w:rFonts w:ascii="Times New Roman" w:hAnsi="Times New Roman" w:cs="Times New Roman"/>
        </w:rPr>
        <w:t> (IEEE Std 829-2008).</w:t>
      </w:r>
    </w:p>
    <w:p w14:paraId="29E0CDCB" w14:textId="77777777" w:rsidR="00AA1D60" w:rsidRPr="00DC6873" w:rsidRDefault="00AA1D60" w:rsidP="00DC6873">
      <w:pPr>
        <w:spacing w:line="480" w:lineRule="auto"/>
        <w:rPr>
          <w:rFonts w:ascii="Times New Roman" w:hAnsi="Times New Roman" w:cs="Times New Roman"/>
        </w:rPr>
      </w:pPr>
    </w:p>
    <w:p w14:paraId="2FFC1D82" w14:textId="77777777" w:rsidR="00DC6873" w:rsidRPr="00DC6873" w:rsidRDefault="00DC6873" w:rsidP="00DC6873">
      <w:pPr>
        <w:spacing w:line="480" w:lineRule="auto"/>
        <w:rPr>
          <w:rFonts w:ascii="Times New Roman" w:hAnsi="Times New Roman" w:cs="Times New Roman"/>
        </w:rPr>
      </w:pPr>
    </w:p>
    <w:sectPr w:rsidR="00DC6873" w:rsidRPr="00DC6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900"/>
    <w:rsid w:val="001F6F04"/>
    <w:rsid w:val="00342043"/>
    <w:rsid w:val="007C3962"/>
    <w:rsid w:val="007F79F8"/>
    <w:rsid w:val="009D5445"/>
    <w:rsid w:val="00A40D94"/>
    <w:rsid w:val="00AA1D60"/>
    <w:rsid w:val="00B901A0"/>
    <w:rsid w:val="00BF471C"/>
    <w:rsid w:val="00CB6900"/>
    <w:rsid w:val="00DC6873"/>
    <w:rsid w:val="00F20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23778E"/>
  <w15:chartTrackingRefBased/>
  <w15:docId w15:val="{BA44ED57-5E31-A74B-8F9C-76EF09CB9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900"/>
  </w:style>
  <w:style w:type="paragraph" w:styleId="Heading1">
    <w:name w:val="heading 1"/>
    <w:basedOn w:val="Normal"/>
    <w:next w:val="Normal"/>
    <w:link w:val="Heading1Char"/>
    <w:uiPriority w:val="9"/>
    <w:qFormat/>
    <w:rsid w:val="00CB69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69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9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9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9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9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69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9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9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9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900"/>
    <w:rPr>
      <w:rFonts w:eastAsiaTheme="majorEastAsia" w:cstheme="majorBidi"/>
      <w:color w:val="272727" w:themeColor="text1" w:themeTint="D8"/>
    </w:rPr>
  </w:style>
  <w:style w:type="paragraph" w:styleId="Title">
    <w:name w:val="Title"/>
    <w:basedOn w:val="Normal"/>
    <w:next w:val="Normal"/>
    <w:link w:val="TitleChar"/>
    <w:uiPriority w:val="10"/>
    <w:qFormat/>
    <w:rsid w:val="00CB6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900"/>
    <w:pPr>
      <w:spacing w:before="160"/>
      <w:jc w:val="center"/>
    </w:pPr>
    <w:rPr>
      <w:i/>
      <w:iCs/>
      <w:color w:val="404040" w:themeColor="text1" w:themeTint="BF"/>
    </w:rPr>
  </w:style>
  <w:style w:type="character" w:customStyle="1" w:styleId="QuoteChar">
    <w:name w:val="Quote Char"/>
    <w:basedOn w:val="DefaultParagraphFont"/>
    <w:link w:val="Quote"/>
    <w:uiPriority w:val="29"/>
    <w:rsid w:val="00CB6900"/>
    <w:rPr>
      <w:i/>
      <w:iCs/>
      <w:color w:val="404040" w:themeColor="text1" w:themeTint="BF"/>
    </w:rPr>
  </w:style>
  <w:style w:type="paragraph" w:styleId="ListParagraph">
    <w:name w:val="List Paragraph"/>
    <w:basedOn w:val="Normal"/>
    <w:uiPriority w:val="34"/>
    <w:qFormat/>
    <w:rsid w:val="00CB6900"/>
    <w:pPr>
      <w:ind w:left="720"/>
      <w:contextualSpacing/>
    </w:pPr>
  </w:style>
  <w:style w:type="character" w:styleId="IntenseEmphasis">
    <w:name w:val="Intense Emphasis"/>
    <w:basedOn w:val="DefaultParagraphFont"/>
    <w:uiPriority w:val="21"/>
    <w:qFormat/>
    <w:rsid w:val="00CB6900"/>
    <w:rPr>
      <w:i/>
      <w:iCs/>
      <w:color w:val="2F5496" w:themeColor="accent1" w:themeShade="BF"/>
    </w:rPr>
  </w:style>
  <w:style w:type="paragraph" w:styleId="IntenseQuote">
    <w:name w:val="Intense Quote"/>
    <w:basedOn w:val="Normal"/>
    <w:next w:val="Normal"/>
    <w:link w:val="IntenseQuoteChar"/>
    <w:uiPriority w:val="30"/>
    <w:qFormat/>
    <w:rsid w:val="00CB6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900"/>
    <w:rPr>
      <w:i/>
      <w:iCs/>
      <w:color w:val="2F5496" w:themeColor="accent1" w:themeShade="BF"/>
    </w:rPr>
  </w:style>
  <w:style w:type="character" w:styleId="IntenseReference">
    <w:name w:val="Intense Reference"/>
    <w:basedOn w:val="DefaultParagraphFont"/>
    <w:uiPriority w:val="32"/>
    <w:qFormat/>
    <w:rsid w:val="00CB6900"/>
    <w:rPr>
      <w:b/>
      <w:bCs/>
      <w:smallCaps/>
      <w:color w:val="2F5496" w:themeColor="accent1" w:themeShade="BF"/>
      <w:spacing w:val="5"/>
    </w:rPr>
  </w:style>
  <w:style w:type="character" w:styleId="Hyperlink">
    <w:name w:val="Hyperlink"/>
    <w:basedOn w:val="DefaultParagraphFont"/>
    <w:uiPriority w:val="99"/>
    <w:unhideWhenUsed/>
    <w:rsid w:val="00AA1D60"/>
    <w:rPr>
      <w:color w:val="0563C1" w:themeColor="hyperlink"/>
      <w:u w:val="single"/>
    </w:rPr>
  </w:style>
  <w:style w:type="character" w:styleId="UnresolvedMention">
    <w:name w:val="Unresolved Mention"/>
    <w:basedOn w:val="DefaultParagraphFont"/>
    <w:uiPriority w:val="99"/>
    <w:semiHidden/>
    <w:unhideWhenUsed/>
    <w:rsid w:val="00AA1D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45418">
      <w:bodyDiv w:val="1"/>
      <w:marLeft w:val="0"/>
      <w:marRight w:val="0"/>
      <w:marTop w:val="0"/>
      <w:marBottom w:val="0"/>
      <w:divBdr>
        <w:top w:val="none" w:sz="0" w:space="0" w:color="auto"/>
        <w:left w:val="none" w:sz="0" w:space="0" w:color="auto"/>
        <w:bottom w:val="none" w:sz="0" w:space="0" w:color="auto"/>
        <w:right w:val="none" w:sz="0" w:space="0" w:color="auto"/>
      </w:divBdr>
    </w:div>
    <w:div w:id="451097695">
      <w:bodyDiv w:val="1"/>
      <w:marLeft w:val="0"/>
      <w:marRight w:val="0"/>
      <w:marTop w:val="0"/>
      <w:marBottom w:val="0"/>
      <w:divBdr>
        <w:top w:val="none" w:sz="0" w:space="0" w:color="auto"/>
        <w:left w:val="none" w:sz="0" w:space="0" w:color="auto"/>
        <w:bottom w:val="none" w:sz="0" w:space="0" w:color="auto"/>
        <w:right w:val="none" w:sz="0" w:space="0" w:color="auto"/>
      </w:divBdr>
    </w:div>
    <w:div w:id="940531296">
      <w:bodyDiv w:val="1"/>
      <w:marLeft w:val="0"/>
      <w:marRight w:val="0"/>
      <w:marTop w:val="0"/>
      <w:marBottom w:val="0"/>
      <w:divBdr>
        <w:top w:val="none" w:sz="0" w:space="0" w:color="auto"/>
        <w:left w:val="none" w:sz="0" w:space="0" w:color="auto"/>
        <w:bottom w:val="none" w:sz="0" w:space="0" w:color="auto"/>
        <w:right w:val="none" w:sz="0" w:space="0" w:color="auto"/>
      </w:divBdr>
    </w:div>
    <w:div w:id="1097629383">
      <w:bodyDiv w:val="1"/>
      <w:marLeft w:val="0"/>
      <w:marRight w:val="0"/>
      <w:marTop w:val="0"/>
      <w:marBottom w:val="0"/>
      <w:divBdr>
        <w:top w:val="none" w:sz="0" w:space="0" w:color="auto"/>
        <w:left w:val="none" w:sz="0" w:space="0" w:color="auto"/>
        <w:bottom w:val="none" w:sz="0" w:space="0" w:color="auto"/>
        <w:right w:val="none" w:sz="0" w:space="0" w:color="auto"/>
      </w:divBdr>
    </w:div>
    <w:div w:id="1762213765">
      <w:bodyDiv w:val="1"/>
      <w:marLeft w:val="0"/>
      <w:marRight w:val="0"/>
      <w:marTop w:val="0"/>
      <w:marBottom w:val="0"/>
      <w:divBdr>
        <w:top w:val="none" w:sz="0" w:space="0" w:color="auto"/>
        <w:left w:val="none" w:sz="0" w:space="0" w:color="auto"/>
        <w:bottom w:val="none" w:sz="0" w:space="0" w:color="auto"/>
        <w:right w:val="none" w:sz="0" w:space="0" w:color="auto"/>
      </w:divBdr>
    </w:div>
    <w:div w:id="1911889882">
      <w:bodyDiv w:val="1"/>
      <w:marLeft w:val="0"/>
      <w:marRight w:val="0"/>
      <w:marTop w:val="0"/>
      <w:marBottom w:val="0"/>
      <w:divBdr>
        <w:top w:val="none" w:sz="0" w:space="0" w:color="auto"/>
        <w:left w:val="none" w:sz="0" w:space="0" w:color="auto"/>
        <w:bottom w:val="none" w:sz="0" w:space="0" w:color="auto"/>
        <w:right w:val="none" w:sz="0" w:space="0" w:color="auto"/>
      </w:divBdr>
    </w:div>
    <w:div w:id="2021656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amate.nist.gov/" TargetMode="External"/><Relationship Id="rId5" Type="http://schemas.openxmlformats.org/officeDocument/2006/relationships/hyperlink" Target="https://doi.org/10.1109/MC.2019.2905533" TargetMode="External"/><Relationship Id="rId4" Type="http://schemas.openxmlformats.org/officeDocument/2006/relationships/hyperlink" Target="https://go.openathens.net/redirector/ashford.edu?url=https%3a%2f%2fieeexplore.ieee.org%2fdocument%2f8848154%3farnumber%3d8848154%26SID%3dEBSCO%3aedseee"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Madjany Lamour</dc:creator>
  <cp:keywords/>
  <dc:description/>
  <cp:lastModifiedBy>Madjany Lamour</cp:lastModifiedBy>
  <cp:revision>1</cp:revision>
  <dcterms:created xsi:type="dcterms:W3CDTF">2025-06-14T10:34:00Z</dcterms:created>
  <dcterms:modified xsi:type="dcterms:W3CDTF">2025-06-14T10:57:00Z</dcterms:modified>
</cp:coreProperties>
</file>