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5BDA2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AAA AI AGENT KNOWLEDGE BASE</w:t>
      </w:r>
    </w:p>
    <w:p w14:paraId="03E8B2EB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NON-PROFIT FUNDING, IMPACT, AND ORGANIZATIONAL PROFILE</w:t>
      </w:r>
    </w:p>
    <w:p w14:paraId="1124844A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40F3D716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658F366A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SECTION 1: SAMPLE NON-PROFIT COMPANY PROFILE</w:t>
      </w:r>
    </w:p>
    <w:p w14:paraId="42276F07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7DDB364E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5DBF5B93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Organization Name: Asia Art Archive Ltd.</w:t>
      </w:r>
    </w:p>
    <w:p w14:paraId="1128FF61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6CD9F212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Type: Registered Non-Profit Organization</w:t>
      </w:r>
    </w:p>
    <w:p w14:paraId="00288179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2CFBA5D9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Mission:</w:t>
      </w:r>
    </w:p>
    <w:p w14:paraId="4D1633B9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Art is knowledge. Asia Art Archive is a catalyst for new ideas that enrich our understanding of the world through the collection, creation, and sharing of knowledge around recent art in Asia.</w:t>
      </w:r>
    </w:p>
    <w:p w14:paraId="67CB29C7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780EB4DF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Vision:</w:t>
      </w:r>
    </w:p>
    <w:p w14:paraId="673DB955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We are a team. Each role is important and uniquely contributes to the greater mission of Asia Art Archive. Respect, gratitude, and empathy drive all our interactions.</w:t>
      </w:r>
    </w:p>
    <w:p w14:paraId="45FBE87E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We work to create a welcoming and inclusive environment for employees from diverse backgrounds. We listen carefully and offer feedback in a constructive way.</w:t>
      </w:r>
    </w:p>
    <w:p w14:paraId="6C12F1DA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 xml:space="preserve">We take responsibility for our actions and </w:t>
      </w:r>
      <w:proofErr w:type="spellStart"/>
      <w:r w:rsidRPr="00C7153B">
        <w:rPr>
          <w:rFonts w:ascii="Segoe UI" w:eastAsia="Times New Roman" w:hAnsi="Segoe UI" w:cs="Segoe UI"/>
          <w:sz w:val="21"/>
          <w:szCs w:val="21"/>
        </w:rPr>
        <w:t>honour</w:t>
      </w:r>
      <w:proofErr w:type="spellEnd"/>
      <w:r w:rsidRPr="00C7153B">
        <w:rPr>
          <w:rFonts w:ascii="Segoe UI" w:eastAsia="Times New Roman" w:hAnsi="Segoe UI" w:cs="Segoe UI"/>
          <w:sz w:val="21"/>
          <w:szCs w:val="21"/>
        </w:rPr>
        <w:t xml:space="preserve"> our commitments, as these will have an impact on the future of the </w:t>
      </w:r>
      <w:proofErr w:type="spellStart"/>
      <w:r w:rsidRPr="00C7153B">
        <w:rPr>
          <w:rFonts w:ascii="Segoe UI" w:eastAsia="Times New Roman" w:hAnsi="Segoe UI" w:cs="Segoe UI"/>
          <w:sz w:val="21"/>
          <w:szCs w:val="21"/>
        </w:rPr>
        <w:t>organisation</w:t>
      </w:r>
      <w:proofErr w:type="spellEnd"/>
      <w:r w:rsidRPr="00C7153B">
        <w:rPr>
          <w:rFonts w:ascii="Segoe UI" w:eastAsia="Times New Roman" w:hAnsi="Segoe UI" w:cs="Segoe UI"/>
          <w:sz w:val="21"/>
          <w:szCs w:val="21"/>
        </w:rPr>
        <w:t>.</w:t>
      </w:r>
    </w:p>
    <w:p w14:paraId="2DD52E5C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We understand that the world is constantly changing, and that we cannot control every outcome; we do our best, work hard, while remaining gracious and flexible with ourselves and others.</w:t>
      </w:r>
    </w:p>
    <w:p w14:paraId="66604421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Generosity is at the core of what we do. We want our work to be shared freely, ethically, and sustainably—benefiting the most people possible.</w:t>
      </w:r>
    </w:p>
    <w:p w14:paraId="1622957C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We are dynamic and responsive to our stakeholders and community—challenging habitual ways of thinking and doing.</w:t>
      </w:r>
    </w:p>
    <w:p w14:paraId="47CD745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As one node within a larger ecology, we aspire to be a role model on the urgent issues of our time and within our field.</w:t>
      </w:r>
    </w:p>
    <w:p w14:paraId="2FF3F8BB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3D99E557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lastRenderedPageBreak/>
        <w:t>Geographic Coverage:</w:t>
      </w:r>
    </w:p>
    <w:p w14:paraId="5400186A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Primary operations in Southeast Asia (Philippines, Indonesia, and Vietnam)</w:t>
      </w:r>
    </w:p>
    <w:p w14:paraId="22B5843C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289EB097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Core Programs:</w:t>
      </w:r>
    </w:p>
    <w:p w14:paraId="6AE94C92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1. Education Access Program</w:t>
      </w:r>
    </w:p>
    <w:p w14:paraId="132B7454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 xml:space="preserve">   - Provides scholarships and school supplies</w:t>
      </w:r>
    </w:p>
    <w:p w14:paraId="051A7497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 xml:space="preserve">   - Supports 4,000 students annually</w:t>
      </w:r>
    </w:p>
    <w:p w14:paraId="62F76F9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497FD5AE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2. Skills &amp; Livelihood Training</w:t>
      </w:r>
    </w:p>
    <w:p w14:paraId="48356368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 xml:space="preserve">   - Offers vocational training (digital skills, entrepreneurship)</w:t>
      </w:r>
    </w:p>
    <w:p w14:paraId="43335589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 xml:space="preserve">   - Reaches 1,200 adults annually</w:t>
      </w:r>
    </w:p>
    <w:p w14:paraId="236550EC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00DE33A6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3. Community Development Initiatives</w:t>
      </w:r>
    </w:p>
    <w:p w14:paraId="67700679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 xml:space="preserve">   - Builds learning hubs and community centers</w:t>
      </w:r>
    </w:p>
    <w:p w14:paraId="4FB53F6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 xml:space="preserve">   - Supports local economic programs</w:t>
      </w:r>
    </w:p>
    <w:p w14:paraId="774D2EFF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6710E6C5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Annual Budget:</w:t>
      </w:r>
    </w:p>
    <w:p w14:paraId="0E71F068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USD 1,200,000</w:t>
      </w:r>
    </w:p>
    <w:p w14:paraId="44207B48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2D264728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Funding Breakdown:</w:t>
      </w:r>
    </w:p>
    <w:p w14:paraId="3084A6BE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- 50% Foundation and Grant Funding</w:t>
      </w:r>
    </w:p>
    <w:p w14:paraId="6BFD9F5D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- 30% Corporate Partnerships</w:t>
      </w:r>
    </w:p>
    <w:p w14:paraId="7BD7928A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- 20% Individual Donations</w:t>
      </w:r>
    </w:p>
    <w:p w14:paraId="181DBDBC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480483AD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Key Stakeholders:</w:t>
      </w:r>
    </w:p>
    <w:p w14:paraId="703C6E65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Beneficiaries (children, youth, and low-income families)</w:t>
      </w:r>
    </w:p>
    <w:p w14:paraId="5963FDC5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Corporate partners</w:t>
      </w:r>
    </w:p>
    <w:p w14:paraId="6C0B49C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Grant-making organizations</w:t>
      </w:r>
    </w:p>
    <w:p w14:paraId="08194D21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lastRenderedPageBreak/>
        <w:t>- Local governments</w:t>
      </w:r>
    </w:p>
    <w:p w14:paraId="4DB0A09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0C0C8949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Governance Structure:</w:t>
      </w:r>
    </w:p>
    <w:p w14:paraId="57FB683F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Board of Directors (7 members)</w:t>
      </w:r>
    </w:p>
    <w:p w14:paraId="62DB119A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Executive Director</w:t>
      </w:r>
    </w:p>
    <w:p w14:paraId="093F1D3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Program Managers</w:t>
      </w:r>
    </w:p>
    <w:p w14:paraId="554F5E8D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Finance and Compliance Officer</w:t>
      </w:r>
    </w:p>
    <w:p w14:paraId="60EB3631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3A8AD004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7A5AF79A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SECTION 2: CURRENT CHALLENGES</w:t>
      </w:r>
    </w:p>
    <w:p w14:paraId="0ED9BA19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51C4FAF7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0CDCC42E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Over-reliance on top 3 funding partners</w:t>
      </w:r>
    </w:p>
    <w:p w14:paraId="0C5EC226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Limited impact measurement framework</w:t>
      </w:r>
    </w:p>
    <w:p w14:paraId="2A4AF071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Inconsistent donor reporting quality</w:t>
      </w:r>
    </w:p>
    <w:p w14:paraId="17F6E137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Insufficient long-term financial reserves</w:t>
      </w:r>
    </w:p>
    <w:p w14:paraId="752ABD5D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Lack of structured 3–</w:t>
      </w:r>
      <w:proofErr w:type="gramStart"/>
      <w:r w:rsidRPr="00C7153B">
        <w:rPr>
          <w:rFonts w:ascii="Segoe UI" w:eastAsia="Times New Roman" w:hAnsi="Segoe UI" w:cs="Segoe UI"/>
          <w:sz w:val="21"/>
          <w:szCs w:val="21"/>
        </w:rPr>
        <w:t>5 year</w:t>
      </w:r>
      <w:proofErr w:type="gramEnd"/>
      <w:r w:rsidRPr="00C7153B">
        <w:rPr>
          <w:rFonts w:ascii="Segoe UI" w:eastAsia="Times New Roman" w:hAnsi="Segoe UI" w:cs="Segoe UI"/>
          <w:sz w:val="21"/>
          <w:szCs w:val="21"/>
        </w:rPr>
        <w:t xml:space="preserve"> strategic plan</w:t>
      </w:r>
    </w:p>
    <w:p w14:paraId="03AF9672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022B380F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4F12441B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SECTION 3: FUNDING PRINCIPLES</w:t>
      </w:r>
    </w:p>
    <w:p w14:paraId="0ACBA38B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414DCCE9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60BAD013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Funders evaluate non-profits based on:</w:t>
      </w:r>
    </w:p>
    <w:p w14:paraId="79CD430A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5291C42D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Clarity of mission and vision</w:t>
      </w:r>
    </w:p>
    <w:p w14:paraId="3D1FE1C4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Demonstrated and measurable impact</w:t>
      </w:r>
    </w:p>
    <w:p w14:paraId="0B24F9DE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Financial transparency and accountability</w:t>
      </w:r>
    </w:p>
    <w:p w14:paraId="24926F13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Governance structure and leadership strength</w:t>
      </w:r>
    </w:p>
    <w:p w14:paraId="20BBF2F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lastRenderedPageBreak/>
        <w:t>- Sustainability and scalability of programs</w:t>
      </w:r>
    </w:p>
    <w:p w14:paraId="65639C27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396A827F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461D256B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SECTION 4: WHAT MAKES A NON-PROFIT ATTRACTIVE</w:t>
      </w:r>
    </w:p>
    <w:p w14:paraId="67314732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68853462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59379108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Clear problem statement and solution</w:t>
      </w:r>
    </w:p>
    <w:p w14:paraId="43C3BC4B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Strong alignment with donor priorities</w:t>
      </w:r>
    </w:p>
    <w:p w14:paraId="471B61A9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Data-driven impact reporting</w:t>
      </w:r>
    </w:p>
    <w:p w14:paraId="007E772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Diversified funding sources</w:t>
      </w:r>
    </w:p>
    <w:p w14:paraId="0EACBB3A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Professional and transparent operations</w:t>
      </w:r>
    </w:p>
    <w:p w14:paraId="1397672E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325E1D27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5F911D4C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SECTION 5: RED FLAGS FOR DONORS</w:t>
      </w:r>
    </w:p>
    <w:p w14:paraId="5D1DD0AD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5BDB59C2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090F4A5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Heavy reliance on 1–2 donors (&gt;40%)</w:t>
      </w:r>
    </w:p>
    <w:p w14:paraId="2AA28295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Lack of measurable outcomes</w:t>
      </w:r>
    </w:p>
    <w:p w14:paraId="3778455A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Weak financial documentation</w:t>
      </w:r>
    </w:p>
    <w:p w14:paraId="1C096284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No sustainability or growth strategy</w:t>
      </w:r>
    </w:p>
    <w:p w14:paraId="2F152D1C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Poor governance practices</w:t>
      </w:r>
    </w:p>
    <w:p w14:paraId="5A7045C4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20314BB1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1E3196D3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SECTION 6: IMPACT MEASUREMENT FRAMEWORK</w:t>
      </w:r>
    </w:p>
    <w:p w14:paraId="6F73E81A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4C9C2A47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1E0EB0F3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Outputs:</w:t>
      </w:r>
    </w:p>
    <w:p w14:paraId="34A714DF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Number of beneficiaries served</w:t>
      </w:r>
    </w:p>
    <w:p w14:paraId="08D88A81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lastRenderedPageBreak/>
        <w:t>- Number of programs delivered</w:t>
      </w:r>
    </w:p>
    <w:p w14:paraId="76462205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7B940BA1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Outcomes:</w:t>
      </w:r>
    </w:p>
    <w:p w14:paraId="798F1C64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Improved literacy rates</w:t>
      </w:r>
    </w:p>
    <w:p w14:paraId="024120BE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Increased employment rates</w:t>
      </w:r>
    </w:p>
    <w:p w14:paraId="1791C89B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Skills acquisition</w:t>
      </w:r>
    </w:p>
    <w:p w14:paraId="4EC9A2E6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287B321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Long-Term Impact:</w:t>
      </w:r>
    </w:p>
    <w:p w14:paraId="193C67DB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Reduced poverty levels</w:t>
      </w:r>
    </w:p>
    <w:p w14:paraId="3D690072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Sustainable livelihoods</w:t>
      </w:r>
    </w:p>
    <w:p w14:paraId="0042DEA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Community development</w:t>
      </w:r>
    </w:p>
    <w:p w14:paraId="20633EFF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1A74903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04CC313F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SECTION 7: FUNDING STRATEGY BEST PRACTICES</w:t>
      </w:r>
    </w:p>
    <w:p w14:paraId="2889ED05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4E5695F5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6AC3BA3C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Diversify funding streams (grants, corporate, individuals)</w:t>
      </w:r>
    </w:p>
    <w:p w14:paraId="71CC6EA7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Develop multi-year funding strategies</w:t>
      </w:r>
    </w:p>
    <w:p w14:paraId="4ABDFB39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Create strong donor engagement plans</w:t>
      </w:r>
    </w:p>
    <w:p w14:paraId="755B8B9A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Align programs with global frameworks (e.g., SDGs)</w:t>
      </w:r>
    </w:p>
    <w:p w14:paraId="5407813D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Use storytelling supported by data</w:t>
      </w:r>
    </w:p>
    <w:p w14:paraId="3EF5E963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7B0747D7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615BEAE1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SECTION 8: DONOR REPORT STRUCTURE</w:t>
      </w:r>
    </w:p>
    <w:p w14:paraId="1E4EA99C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4ACD806A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48C44BEF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A strong donor report includes:</w:t>
      </w:r>
    </w:p>
    <w:p w14:paraId="2DA1D91B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3512AD03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lastRenderedPageBreak/>
        <w:t>1. Executive Summary</w:t>
      </w:r>
    </w:p>
    <w:p w14:paraId="28841B84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2. Organizational Overview</w:t>
      </w:r>
    </w:p>
    <w:p w14:paraId="6F205F1B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3. Problem Statement</w:t>
      </w:r>
    </w:p>
    <w:p w14:paraId="47ED8BF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4. Program Activities</w:t>
      </w:r>
    </w:p>
    <w:p w14:paraId="7F1E5D36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5. Impact Results (with metrics)</w:t>
      </w:r>
    </w:p>
    <w:p w14:paraId="4AEAD774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6. Financial Summary</w:t>
      </w:r>
    </w:p>
    <w:p w14:paraId="2E585A47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7. Challenges and Learnings</w:t>
      </w:r>
    </w:p>
    <w:p w14:paraId="0E8C272B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8. Future Strategy</w:t>
      </w:r>
    </w:p>
    <w:p w14:paraId="31C75A23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9. Funding Needs</w:t>
      </w:r>
    </w:p>
    <w:p w14:paraId="47D9CF6D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09F752DB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70324F42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SECTION 9: AAA AI AGENT ANALYSIS FRAMEWORK</w:t>
      </w:r>
    </w:p>
    <w:p w14:paraId="55177D8D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01387DB1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6F3A9F41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When analyzing an organization, evaluate:</w:t>
      </w:r>
    </w:p>
    <w:p w14:paraId="36FC640C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0B96E0E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Strengths (what funders like)</w:t>
      </w:r>
    </w:p>
    <w:p w14:paraId="363DB3EA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Weaknesses (what needs improvement)</w:t>
      </w:r>
    </w:p>
    <w:p w14:paraId="782BD6DF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Risks (funding threats)</w:t>
      </w:r>
    </w:p>
    <w:p w14:paraId="44DF121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Opportunities (growth potential)</w:t>
      </w:r>
    </w:p>
    <w:p w14:paraId="3CC4BCC4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628A7395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Provide recommendations to:</w:t>
      </w:r>
    </w:p>
    <w:p w14:paraId="748106CC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14EEC0FD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Improve donor confidence</w:t>
      </w:r>
    </w:p>
    <w:p w14:paraId="266E6D93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Increase funding attractiveness</w:t>
      </w:r>
    </w:p>
    <w:p w14:paraId="756E54B3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Strengthen reporting and structure</w:t>
      </w:r>
    </w:p>
    <w:p w14:paraId="24B44EFD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Enhance sustainability</w:t>
      </w:r>
    </w:p>
    <w:p w14:paraId="34471268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2599F919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lastRenderedPageBreak/>
        <w:t>--------------------------------------------------</w:t>
      </w:r>
    </w:p>
    <w:p w14:paraId="1EF5FB57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SECTION 10: FUNDING READINESS LEVELS</w:t>
      </w:r>
    </w:p>
    <w:p w14:paraId="5DB8087A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782A2248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03722EED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HIGH:</w:t>
      </w:r>
    </w:p>
    <w:p w14:paraId="4E7EFCDC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Strong governance</w:t>
      </w:r>
    </w:p>
    <w:p w14:paraId="78B757B0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Diversified funding</w:t>
      </w:r>
    </w:p>
    <w:p w14:paraId="2CABFDFD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Clear, measurable impact</w:t>
      </w:r>
    </w:p>
    <w:p w14:paraId="5D3BA0E9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Strong reporting systems</w:t>
      </w:r>
    </w:p>
    <w:p w14:paraId="5398E7DB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2C0394E7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MEDIUM:</w:t>
      </w:r>
    </w:p>
    <w:p w14:paraId="20741B51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Moderate diversification</w:t>
      </w:r>
    </w:p>
    <w:p w14:paraId="2148AB26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Some impact tracking</w:t>
      </w:r>
    </w:p>
    <w:p w14:paraId="7BDA9789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Basic reporting</w:t>
      </w:r>
    </w:p>
    <w:p w14:paraId="0BF44E98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3677DF62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LOW:</w:t>
      </w:r>
    </w:p>
    <w:p w14:paraId="2FC174FD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High funding risk</w:t>
      </w:r>
    </w:p>
    <w:p w14:paraId="2BB1E534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Poor impact measurement</w:t>
      </w:r>
    </w:p>
    <w:p w14:paraId="62B2C6D1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 Limited donor trust</w:t>
      </w:r>
    </w:p>
    <w:p w14:paraId="7F823256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</w:p>
    <w:p w14:paraId="40D21B75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p w14:paraId="5774280D" w14:textId="77777777" w:rsidR="00C7153B" w:rsidRPr="00C7153B" w:rsidRDefault="00C7153B" w:rsidP="00C7153B">
      <w:pPr>
        <w:rPr>
          <w:rFonts w:ascii="Segoe UI" w:eastAsia="Times New Roman" w:hAnsi="Segoe UI" w:cs="Segoe UI"/>
          <w:sz w:val="21"/>
          <w:szCs w:val="21"/>
        </w:rPr>
      </w:pPr>
      <w:r w:rsidRPr="00C7153B">
        <w:rPr>
          <w:rFonts w:ascii="Segoe UI" w:eastAsia="Times New Roman" w:hAnsi="Segoe UI" w:cs="Segoe UI"/>
          <w:sz w:val="21"/>
          <w:szCs w:val="21"/>
        </w:rPr>
        <w:t>END OF KNOWLEDGE BASE</w:t>
      </w:r>
    </w:p>
    <w:p w14:paraId="2D9F08EC" w14:textId="1E315EAE" w:rsidR="005E3735" w:rsidRPr="00C7153B" w:rsidRDefault="00C7153B" w:rsidP="00C7153B">
      <w:r w:rsidRPr="00C7153B">
        <w:rPr>
          <w:rFonts w:ascii="Segoe UI" w:eastAsia="Times New Roman" w:hAnsi="Segoe UI" w:cs="Segoe UI"/>
          <w:sz w:val="21"/>
          <w:szCs w:val="21"/>
        </w:rPr>
        <w:t>--------------------------------------------------</w:t>
      </w:r>
    </w:p>
    <w:sectPr w:rsidR="005E3735" w:rsidRPr="00C71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14"/>
    <w:rsid w:val="005E3735"/>
    <w:rsid w:val="00C7153B"/>
    <w:rsid w:val="00CF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4152"/>
  <w15:chartTrackingRefBased/>
  <w15:docId w15:val="{511D12F6-1413-4FD6-95E0-58B80F37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3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7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Dequito</dc:creator>
  <cp:keywords/>
  <dc:description/>
  <cp:lastModifiedBy>Mark Dequito</cp:lastModifiedBy>
  <cp:revision>1</cp:revision>
  <dcterms:created xsi:type="dcterms:W3CDTF">2026-06-30T04:05:00Z</dcterms:created>
  <dcterms:modified xsi:type="dcterms:W3CDTF">2026-06-30T09:20:00Z</dcterms:modified>
</cp:coreProperties>
</file>