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Madverse Social Media Brief</w:t>
      </w:r>
    </w:p>
    <w:p>
      <w:pPr>
        <w:pStyle w:val="Subtitle"/>
      </w:pPr>
      <w:r>
        <w:t>A practical introduction for the designer and content creator</w:t>
      </w:r>
    </w:p>
    <w:p>
      <w:pPr/>
      <w:r>
        <w:t>Madverse is The Growth Collective. It brings specialist capabilities in strategy, creativity, technology, talent and execution together around a brand’s business challenge. Your job on social media is to make that idea understandable, show what the collective can help a brand do, and support the story with real work and real people.</w:t>
      </w:r>
    </w:p>
    <w:p>
      <w:pPr>
        <w:pStyle w:val="Heading2"/>
      </w:pPr>
      <w:r>
        <w:t>What Madverse means in everyday language</w:t>
      </w:r>
    </w:p>
    <w:p>
      <w:pPr/>
      <w:r>
        <w:t>Imagine a brand preparing to launch a new product. It may need a clear message, packaging or identity, an advertising idea, films, a website and ongoing content. These tasks involve different skills, but they should tell the same brand story. Madverse’s proposition is to connect the relevant specialists so those contributions support a shared direction.</w:t>
      </w:r>
    </w:p>
    <w:p>
      <w:pPr/>
      <w:r>
        <w:t>The collective is the overall Madverse identity. Its divisions are the specialist teams or brands within that ecosystem. Explain both levels: Madverse connects the ambition and the capabilities; a division contributes its particular expertise. Do not describe the legal ownership or contractual structure unless the company confirms it.</w:t>
      </w:r>
    </w:p>
    <w:p>
      <w:pPr>
        <w:pStyle w:val="Heading2"/>
      </w:pPr>
      <w:r>
        <w:t>The impression social media should create</w:t>
      </w:r>
    </w:p>
    <w:p>
      <w:pPr/>
      <w:r>
        <w:t>A visitor should understand three things: what Madverse does, why its connected approach is useful, and what gives them confidence in the people and work. Bold visuals create recognition. Clear explanations create understanding. Approved projects, decisions and personal perspectives build credibility.</w:t>
      </w:r>
    </w:p>
    <w:p>
      <w:pPr>
        <w:pStyle w:val="Heading2"/>
      </w:pPr>
      <w:r>
        <w:t>How to use this document</w:t>
      </w:r>
    </w:p>
    <w:p>
      <w:pPr/>
      <w:r>
        <w:t>Read the company and working model first. Use the division explanations when developing service stories, and use the voice and visual guidance when producing content. The later sections provide content pillars, twelve starter posts, sample copy and a publishing handoff. Suggested examples are illustrative, and proposed editorial choices can be refined with the company.</w:t>
      </w:r>
    </w:p>
    <w:p>
      <w:pPr/>
      <w:r>
        <w:t>Working introduction: “Madverse connects specialist teams to help brands launch, build demand, create digital experiences and scale content.”</w:t>
      </w:r>
    </w:p>
    <w:p>
      <w:r>
        <w:br w:type="page"/>
      </w:r>
    </w:p>
    <w:p>
      <w:pPr>
        <w:pStyle w:val="Heading1"/>
      </w:pPr>
      <w:r>
        <w:t>The Company Story and Purpose</w:t>
      </w:r>
    </w:p>
    <w:p>
      <w:pPr>
        <w:pStyle w:val="Heading2"/>
      </w:pPr>
      <w:r>
        <w:t>The problem behind the idea</w:t>
      </w:r>
    </w:p>
    <w:p>
      <w:pPr/>
      <w:r>
        <w:t>Marketing can become fragmented when strategy, design, advertising, content and digital work are developed with different assumptions. A campaign might promise one experience while the website communicates something else. A strong identity may lose consistency as more teams produce assets. These are examples of the problem Madverse’s website describes; they are not claims about every agency or client.</w:t>
      </w:r>
    </w:p>
    <w:p>
      <w:pPr/>
      <w:r>
        <w:t>Madverse’s answer is connected thinking with specialist depth. The aim is to keep the brand’s ambition and context visible as the work moves between disciplines. A social post should explain this relationship, rather than simply announcing that the company offers many services.</w:t>
      </w:r>
    </w:p>
    <w:p>
      <w:pPr>
        <w:pStyle w:val="Heading2"/>
      </w:pPr>
      <w:r>
        <w:t>Mission and vision</w:t>
      </w:r>
    </w:p>
    <w:p>
      <w:pPr/>
      <w:r>
        <w:t>The mission is to make growth feel connected by uniting specialist talent, ideas and technology around meaningful brand challenges. In practical language, this means helping the right capabilities contribute to the same objective.</w:t>
      </w:r>
    </w:p>
    <w:p>
      <w:pPr/>
      <w:r>
        <w:t>The vision is a growth model where brands can access specialist depth within a connected system. Present this as the company’s ambition. It should not be treated as evidence of a result already delivered for every client.</w:t>
      </w:r>
    </w:p>
    <w:p>
      <w:pPr>
        <w:pStyle w:val="Heading2"/>
      </w:pPr>
      <w:r>
        <w:t>Create Connect Compound</w:t>
      </w:r>
    </w:p>
    <w:p>
      <w:pPr/>
      <w:r>
        <w:t>Create means developing the ideas, identity, content or experiences the challenge needs. Connect means helping those contributions work together: a campaign idea should carry through its visuals, words and destination. Compound means carrying useful learning and effective work into the next stage. These plain language interpretations can guide editorial themes; the phrase does not promise financial returns.</w:t>
      </w:r>
    </w:p>
    <w:p>
      <w:pPr>
        <w:pStyle w:val="Heading2"/>
      </w:pPr>
      <w:r>
        <w:t>The founder and the human story</w:t>
      </w:r>
    </w:p>
    <w:p>
      <w:pPr/>
      <w:r>
        <w:t>Use Vaibhav Arora as the founder name. Founder content should help the audience understand the thinking behind Madverse: why connection matters, how he views brand challenges, and what he wants the collective to build. Use a real portrait and approved statements. Obtain his confirmed biography before introducing career dates, achievements or personal history.</w:t>
      </w:r>
    </w:p>
    <w:p>
      <w:pPr/>
      <w:r>
        <w:t>A useful interview prompt is: “Can you describe a moment when connecting different specialists changed the direction of a project?” The answer can become a specific story, provided the project details and words are approved.</w:t>
      </w:r>
    </w:p>
    <w:p>
      <w:r>
        <w:br w:type="page"/>
      </w:r>
    </w:p>
    <w:p>
      <w:pPr>
        <w:pStyle w:val="Heading1"/>
      </w:pPr>
      <w:r>
        <w:t>Divisions for Strategy and Creative Work</w:t>
      </w:r>
    </w:p>
    <w:p>
      <w:pPr/>
      <w:r>
        <w:t>The website lists ten divisions. The explanations below describe their current positioning. The example social angles are proposed ways to communicate each role, not claims about a completed project.</w:t>
      </w:r>
    </w:p>
    <w:p>
      <w:pPr>
        <w:pStyle w:val="Heading2"/>
      </w:pPr>
      <w:r>
        <w:t>Mad Men Marketing</w:t>
      </w:r>
    </w:p>
    <w:p>
      <w:pPr/>
      <w:r>
        <w:t>Focus: brand strategy, integrated campaigns and growth marketing. Explain this as helping decide who the brand needs to reach, what it should stand for and how its marketing activity supports the ambition. This direction gives creative and delivery teams a common starting point. Social angle: explain how a clear audience insight changes a campaign brief.</w:t>
      </w:r>
    </w:p>
    <w:p>
      <w:pPr>
        <w:pStyle w:val="Heading2"/>
      </w:pPr>
      <w:r>
        <w:t>Mad Men Advertising</w:t>
      </w:r>
    </w:p>
    <w:p>
      <w:pPr/>
      <w:r>
        <w:t>Focus: advertising ideas, campaigns and media. It translates brand direction into communication designed to earn attention and prompt action. Within a connected project, the campaign idea should be consistent with the strategy and capable of becoming useful assets. Social angle: show how one central idea can appear across several campaign executions.</w:t>
      </w:r>
    </w:p>
    <w:p>
      <w:pPr>
        <w:pStyle w:val="Heading2"/>
      </w:pPr>
      <w:r>
        <w:t>Mad Men Design</w:t>
      </w:r>
    </w:p>
    <w:p>
      <w:pPr/>
      <w:r>
        <w:t>Focus: identity, visual systems and designed experiences. A visual system is the set of choices that makes a brand recognisable, including typography, colour, layout and image treatment. Its contribution helps advertising, digital and content outputs feel related. Social angle: explain one approved design decision and the problem it solves.</w:t>
      </w:r>
    </w:p>
    <w:p>
      <w:pPr>
        <w:pStyle w:val="Heading2"/>
      </w:pPr>
      <w:r>
        <w:t>Mad Men Production</w:t>
      </w:r>
    </w:p>
    <w:p>
      <w:pPr/>
      <w:r>
        <w:t>Focus: film, content and production. Production turns creative direction into finished assets through the relevant craft and execution. Its connection to the brief matters because an attractive film still needs to carry the intended story. Social angle: take the audience from an approved idea or storyboard to the final asset.</w:t>
      </w:r>
    </w:p>
    <w:p>
      <w:pPr>
        <w:pStyle w:val="Heading2"/>
      </w:pPr>
      <w:r>
        <w:t>Madly Talented</w:t>
      </w:r>
    </w:p>
    <w:p>
      <w:pPr/>
      <w:r>
        <w:t>Focus: creators, influencers and specialist talent. Explain the value through relevance: the right person or voice should fit the brand, audience and creative objective. The website describes audience intelligence, cultural understanding and campaign management alongside talent access. Social angle: discuss the criteria behind an approved creator collaboration, rather than presenting follower counts as the entire strategy.</w:t>
      </w:r>
    </w:p>
    <w:p>
      <w:pPr/>
      <w:r>
        <w:t>Before publishing a division series, confirm the official name of Mad Men Production or Productions and the exact spelling of all wordmarks.</w:t>
      </w:r>
    </w:p>
    <w:p>
      <w:r>
        <w:br w:type="page"/>
      </w:r>
    </w:p>
    <w:p>
      <w:pPr>
        <w:pStyle w:val="Heading1"/>
      </w:pPr>
      <w:r>
        <w:t>Divisions for Digital Content and Technology</w:t>
      </w:r>
    </w:p>
    <w:p>
      <w:pPr>
        <w:pStyle w:val="Heading2"/>
      </w:pPr>
      <w:r>
        <w:t>Mad Men Technologies</w:t>
      </w:r>
    </w:p>
    <w:p>
      <w:pPr/>
      <w:r>
        <w:t>Focus: websites, apps and digital platforms. Explain its role through the experience a person needs to have: discovering a product, understanding an offer or completing a useful action. Within the collective, technology should carry the brand direction into a usable digital experience. Social angle: walk through one approved user journey and explain the decisions behind it.</w:t>
      </w:r>
    </w:p>
    <w:p>
      <w:pPr>
        <w:pStyle w:val="Heading2"/>
      </w:pPr>
      <w:r>
        <w:t>Mad Men Perform</w:t>
      </w:r>
    </w:p>
    <w:p>
      <w:pPr/>
      <w:r>
        <w:t>Focus: performance marketing, media, data and optimisation. Performance marketing connects activity to defined measures, such as a relevant enquiry or another agreed action. Optimisation means using what is learned to improve subsequent decisions. Social angle: explain why the objective and measurement plan should be clear before a campaign starts. Publish results only with the timeframe, context and approval.</w:t>
      </w:r>
    </w:p>
    <w:p>
      <w:pPr>
        <w:pStyle w:val="Heading2"/>
      </w:pPr>
      <w:r>
        <w:t>Mad Men Digital</w:t>
      </w:r>
    </w:p>
    <w:p>
      <w:pPr/>
      <w:r>
        <w:t>Its current page covers brand identity, visual design, websites and digital marketing. These capabilities overlap with other division pages, so explain Digital using the company’s approved scope for the specific story. Do not create an exclusive service boundary on your own. Social angle: show an approved digital brand presence and how its visual choices remain consistent across touchpoints.</w:t>
      </w:r>
    </w:p>
    <w:p>
      <w:pPr>
        <w:pStyle w:val="Heading2"/>
      </w:pPr>
      <w:r>
        <w:t>Mad Men Hatters</w:t>
      </w:r>
    </w:p>
    <w:p>
      <w:pPr/>
      <w:r>
        <w:t>Focus: creative writing, website copy, blogs and social content. Words help a brand explain its offer and maintain a recognisable voice. Within a shared brief, the writing should support the strategy and work with the visual idea. Social angle: unpack how a headline, caption or website introduction makes a message clearer.</w:t>
      </w:r>
    </w:p>
    <w:p>
      <w:pPr>
        <w:pStyle w:val="Heading2"/>
      </w:pPr>
      <w:r>
        <w:t>Mad ENAiBLe</w:t>
      </w:r>
    </w:p>
    <w:p>
      <w:pPr/>
      <w:r>
        <w:t>Focus: human directed AI creativity across imagery, scripting, video, animation, design and content versioning. Its website emphasises that people set the direction, select possibilities and refine the outcome. Explain AI as part of a creative process, with human judgement still visible. Social angle: show a labelled concept progressing from a brief through exploration to a curated result.</w:t>
      </w:r>
    </w:p>
    <w:p>
      <w:pPr>
        <w:pStyle w:val="Heading2"/>
      </w:pPr>
      <w:r>
        <w:t>How to present the ecosystem</w:t>
      </w:r>
    </w:p>
    <w:p>
      <w:pPr/>
      <w:r>
        <w:t>Start with a brand need, introduce the relevant specialists, and explain their contributions. The audience should see a relationship between roles, not simply ten logos. Confirm overlaps involving Marketing, Digital, Design and Technologies before publishing definitive service maps.</w:t>
      </w:r>
    </w:p>
    <w:p>
      <w:r>
        <w:br w:type="page"/>
      </w:r>
    </w:p>
    <w:p>
      <w:pPr>
        <w:pStyle w:val="Heading1"/>
      </w:pPr>
      <w:r>
        <w:t>How a Project Moves Through the Collective</w:t>
      </w:r>
    </w:p>
    <w:p>
      <w:pPr/>
      <w:r>
        <w:t>The website describes four stages: find the real problem, build the right team, move as one and scale what works. The explanations below translate that model into a practical story. Specific project governance, deliverables and responsibilities must be agreed for the actual engagement.</w:t>
      </w:r>
    </w:p>
    <w:p>
      <w:pPr>
        <w:pStyle w:val="Heading2"/>
      </w:pPr>
      <w:r>
        <w:t>1 Understand the business challenge</w:t>
      </w:r>
    </w:p>
    <w:p>
      <w:pPr/>
      <w:r>
        <w:t>Begin with what the brand wants to achieve and what is getting in the way. “We need more posts” is an output request. The underlying need might be an unclear offer, inconsistent communication or insufficient awareness among the intended audience. Understanding the need helps decide whether more content is the right response.</w:t>
      </w:r>
    </w:p>
    <w:p>
      <w:pPr/>
      <w:r>
        <w:t>For social content, show the useful question behind the work. For example: “What does a new customer need to understand before they can choose this brand?” This demonstrates thinking without claiming to have solved a real client problem.</w:t>
      </w:r>
    </w:p>
    <w:p>
      <w:pPr>
        <w:pStyle w:val="Heading2"/>
      </w:pPr>
      <w:r>
        <w:t>2 Bring in the relevant specialists</w:t>
      </w:r>
    </w:p>
    <w:p>
      <w:pPr/>
      <w:r>
        <w:t>Once the problem is clear, identify the capabilities needed. A launch may involve strategy, identity and advertising. An established brand may need a narrower combination. The value of the collective is access to relevant specialist depth; every engagement does not need all ten divisions.</w:t>
      </w:r>
    </w:p>
    <w:p>
      <w:pPr>
        <w:pStyle w:val="Heading2"/>
      </w:pPr>
      <w:r>
        <w:t>3 Carry the brief through the work</w:t>
      </w:r>
    </w:p>
    <w:p>
      <w:pPr/>
      <w:r>
        <w:t>A shared brief should explain the audience, objective, core message and desired experience. As specialists contribute, those decisions help the assets relate to each other. The website copy, campaign visuals and films can have different formats while still communicating one brand story.</w:t>
      </w:r>
    </w:p>
    <w:p>
      <w:pPr/>
      <w:r>
        <w:t>A useful behind the work post shows a specific connection: the insight that informed the headline, the visual choice that carried that idea, or the digital page that continued the campaign experience. Confirm who actually contributed before assigning division credits.</w:t>
      </w:r>
    </w:p>
    <w:p>
      <w:pPr>
        <w:pStyle w:val="Heading2"/>
      </w:pPr>
      <w:r>
        <w:t>4 Learn and guide the next stage</w:t>
      </w:r>
    </w:p>
    <w:p>
      <w:pPr/>
      <w:r>
        <w:t>Review the agreed objective and the evidence available. The next decision might concern clearer messaging, different creative variations or a better digital journey. This is what makes learning useful. Do not imply that every activity automatically improves sales or that every engagement includes an identical measurement service.</w:t>
      </w:r>
    </w:p>
    <w:p>
      <w:pPr/>
      <w:r>
        <w:t>The simplest client explanation is: understand the need, connect the capabilities, create with shared direction, and use learning to guide what follows.</w:t>
      </w:r>
    </w:p>
    <w:p>
      <w:r>
        <w:br w:type="page"/>
      </w:r>
    </w:p>
    <w:p>
      <w:pPr>
        <w:pStyle w:val="Heading1"/>
      </w:pPr>
      <w:r>
        <w:t>Four Brand Challenges Explained</w:t>
      </w:r>
    </w:p>
    <w:p>
      <w:pPr/>
      <w:r>
        <w:t>These scenarios help the content creator explain the website’s solution themes. They are illustrative combinations, not fixed packages, prices or completed client cases.</w:t>
      </w:r>
    </w:p>
    <w:p>
      <w:pPr>
        <w:pStyle w:val="Heading2"/>
      </w:pPr>
      <w:r>
        <w:t>Launching a brand</w:t>
      </w:r>
    </w:p>
    <w:p>
      <w:pPr/>
      <w:r>
        <w:t>The need: introduce a new brand with a clear position and a recognisable story. Marketing can help define the direction, Design can develop the identity, and Advertising can shape the launch communication. Production or Technologies may join when the agreed scope includes films or a digital destination. The useful connection is that the launch message, visual identity and customer experience support one another.</w:t>
      </w:r>
    </w:p>
    <w:p>
      <w:pPr/>
      <w:r>
        <w:t>Social idea: a carousel following a fictional brand from its audience question to the identity and launch idea. Label it as an illustrative example, and explain one decision per frame.</w:t>
      </w:r>
    </w:p>
    <w:p>
      <w:pPr>
        <w:pStyle w:val="Heading2"/>
      </w:pPr>
      <w:r>
        <w:t>Building demand through a campaign</w:t>
      </w:r>
    </w:p>
    <w:p>
      <w:pPr/>
      <w:r>
        <w:t>The need: give the intended audience a reason to notice and act. Advertising can develop the campaign idea, Production can make the assets, and Perform can support media and measurement where relevant. The creative promise and the action requested should fit together. Do not equate impressions or attention with proven business growth.</w:t>
      </w:r>
    </w:p>
    <w:p>
      <w:pPr/>
      <w:r>
        <w:t>Social idea: use an approved campaign to show the challenge, central idea, execution and available evidence. If results are unconfirmed, focus on the work delivered.</w:t>
      </w:r>
    </w:p>
    <w:p>
      <w:pPr>
        <w:pStyle w:val="Heading2"/>
      </w:pPr>
      <w:r>
        <w:t>Creating a digital experience</w:t>
      </w:r>
    </w:p>
    <w:p>
      <w:pPr/>
      <w:r>
        <w:t>The need: help a person understand an offer and complete a useful task online. Marketing, Design and Technologies can connect the message, visual experience and build. For example, a campaign destination should explain the same offer that brought the visitor there. Digital may contribute according to its approved remit.</w:t>
      </w:r>
    </w:p>
    <w:p>
      <w:pPr/>
      <w:r>
        <w:t>Social idea: show the path from a visitor’s question to a useful page or interaction, using approved screens and a clear explanation of the design decision.</w:t>
      </w:r>
    </w:p>
    <w:p>
      <w:pPr>
        <w:pStyle w:val="Heading2"/>
      </w:pPr>
      <w:r>
        <w:t>Scaling ongoing content</w:t>
      </w:r>
    </w:p>
    <w:p>
      <w:pPr/>
      <w:r>
        <w:t>The need: create a continuing flow of useful content while keeping the brand voice and quality consistent. Hatters can shape the words, Production can create assets, and ENAiBLe can support human directed exploration or versioning. More outputs are only useful when they have a clear purpose.</w:t>
      </w:r>
    </w:p>
    <w:p>
      <w:pPr/>
      <w:r>
        <w:t>Social idea: show how one approved core idea becomes several relevant formats, explaining what changes for each audience or context.</w:t>
      </w:r>
    </w:p>
    <w:p>
      <w:r>
        <w:br w:type="page"/>
      </w:r>
    </w:p>
    <w:p>
      <w:pPr>
        <w:pStyle w:val="Heading1"/>
      </w:pPr>
      <w:r>
        <w:t>Why a Client May Choose Madverse</w:t>
      </w:r>
    </w:p>
    <w:p>
      <w:pPr/>
      <w:r>
        <w:t>Explain Madverse’s advantages through its working model and the client’s needs. A credible comparison says what Madverse offers and shows evidence where available. It does not rely on claiming that other agencies are weak, outdated or unable to collaborate.</w:t>
      </w:r>
    </w:p>
    <w:p>
      <w:pPr>
        <w:pStyle w:val="Heading2"/>
      </w:pPr>
      <w:r>
        <w:t>Specialist depth</w:t>
      </w:r>
    </w:p>
    <w:p>
      <w:pPr/>
      <w:r>
        <w:t>Different challenges require different kinds of expertise. The collective’s specialist divisions make those capabilities visible. For the client, the potential benefit is access to focused skills while keeping the wider brand objective in view. To substantiate this on social, show the actual expertise, contribution and work of a relevant division.</w:t>
      </w:r>
    </w:p>
    <w:p>
      <w:pPr>
        <w:pStyle w:val="Heading2"/>
      </w:pPr>
      <w:r>
        <w:t>Shared direction</w:t>
      </w:r>
    </w:p>
    <w:p>
      <w:pPr/>
      <w:r>
        <w:t>When contributors understand the same brief, the identity, campaign, content and digital experience can carry a coherent message. For the client, the potential benefit is less loss of context between disciplines. A strong proof post shows the same idea carried through several real outputs, with an explanation of how the teams connected.</w:t>
      </w:r>
    </w:p>
    <w:p>
      <w:pPr>
        <w:pStyle w:val="Heading2"/>
      </w:pPr>
      <w:r>
        <w:t>A team shaped around the challenge</w:t>
      </w:r>
    </w:p>
    <w:p>
      <w:pPr/>
      <w:r>
        <w:t>The model allows the story to begin with the need and then explain the relevant combination of capabilities. For a client, this is easier to understand than a generic list of everything the company can do. Do not turn this positioning into an unconfirmed promise about staffing, pricing, turnaround time or contract flexibility.</w:t>
      </w:r>
    </w:p>
    <w:p>
      <w:pPr>
        <w:pStyle w:val="Heading2"/>
      </w:pPr>
      <w:r>
        <w:t>A connection between ideas and delivery</w:t>
      </w:r>
    </w:p>
    <w:p>
      <w:pPr/>
      <w:r>
        <w:t>Madverse’s scope spans thinking, creative development and execution. This gives the social team an opportunity to show how an idea becomes useful work. An attractive image becomes more persuasive when the audience understands the brief, the decision behind it and the finished experience.</w:t>
      </w:r>
    </w:p>
    <w:p>
      <w:pPr>
        <w:pStyle w:val="Heading2"/>
      </w:pPr>
      <w:r>
        <w:t>What would demonstrate these advantages</w:t>
      </w:r>
    </w:p>
    <w:p>
      <w:pPr/>
      <w:r>
        <w:t>Use approved examples of cross division work, a clear account of each contribution, authentic client words and properly contextualised results. If those materials are unavailable, explain the model as a proposition rather than pretending the proof already exists.</w:t>
      </w:r>
    </w:p>
    <w:p>
      <w:pPr/>
      <w:r>
        <w:t>Suggested positioning copy: “Your ambition may need more than one discipline. Madverse connects the relevant specialists around a shared direction, so strategy, creative work and execution can support the same brand story.”</w:t>
      </w:r>
    </w:p>
    <w:p>
      <w:pPr/>
      <w:r>
        <w:t>Avoid “better than every agency,” “guaranteed growth,” “lowest cost” or “fastest delivery” unless a precise, supportable comparison has been approved.</w:t>
      </w:r>
    </w:p>
    <w:p>
      <w:r>
        <w:br w:type="page"/>
      </w:r>
    </w:p>
    <w:p>
      <w:pPr>
        <w:pStyle w:val="Heading1"/>
      </w:pPr>
      <w:r>
        <w:t>Audience and Brand Voice</w:t>
      </w:r>
    </w:p>
    <w:p>
      <w:pPr>
        <w:pStyle w:val="Heading2"/>
      </w:pPr>
      <w:r>
        <w:t>Proposed priority audiences</w:t>
      </w:r>
    </w:p>
    <w:p>
      <w:pPr/>
      <w:r>
        <w:t>A founder may ask “Can you understand my business and help me move it forward?” A marketing leader may ask “Can these specialists deliver a consistent brand experience?” A potential colleague may ask “Will I learn and do meaningful work here?” Shape the post around one reader and one question, rather than trying to answer everyone at once.</w:t>
      </w:r>
    </w:p>
    <w:p>
      <w:pPr/>
      <w:r>
        <w:t>Founders and business leaders: explain how Madverse can help turn an ambition into a practical direction and relevant team.</w:t>
      </w:r>
    </w:p>
    <w:p>
      <w:pPr/>
      <w:r>
        <w:t>Marketing and brand leaders: show specialist depth, creative quality, coordination and evidence of delivery.</w:t>
      </w:r>
    </w:p>
    <w:p>
      <w:pPr/>
      <w:r>
        <w:t>Potential talent and collaborators: show real people, the thinking behind the work and the culture they would join.</w:t>
      </w:r>
    </w:p>
    <w:p>
      <w:pPr/>
      <w:r>
        <w:t>Prioritise prospective clients in the main story. Use people and culture content to add trust and support recruitment. Confirm target industries, geographies and business sizes before building paid campaigns or a detailed channel plan.</w:t>
      </w:r>
    </w:p>
    <w:p>
      <w:pPr>
        <w:pStyle w:val="Heading2"/>
      </w:pPr>
      <w:r>
        <w:t>How the voice should sound</w:t>
      </w:r>
    </w:p>
    <w:p>
      <w:pPr/>
      <w:r>
        <w:t>Confident, concise and specific. Write like a thoughtful creative partner who understands business. Explain one idea at a time. Pair expressive headlines with practical supporting copy. Use “we” for the collective and “you” when addressing a brand’s need.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tcMar>
              <w:top w:w="90" w:type="dxa"/>
              <w:left w:w="90" w:type="dxa"/>
              <w:bottom w:w="90" w:type="dxa"/>
              <w:right w:w="90" w:type="dxa"/>
            </w:tcMar>
            <w:shd w:fill="262626"/>
          </w:tcPr>
          <w:p>
            <w:pPr>
              <w:spacing w:after="0" w:line="252" w:lineRule="auto"/>
            </w:pPr>
            <w:r>
              <w:rPr>
                <w:b/>
                <w:color w:val="FFFFFF"/>
                <w:sz w:val="20"/>
              </w:rPr>
              <w:t>Use</w:t>
            </w:r>
          </w:p>
        </w:tc>
        <w:tc>
          <w:tcPr>
            <w:tcW w:type="dxa" w:w="7056"/>
            <w:vAlign w:val="center"/>
            <w:tcMar>
              <w:top w:w="90" w:type="dxa"/>
              <w:left w:w="90" w:type="dxa"/>
              <w:bottom w:w="90" w:type="dxa"/>
              <w:right w:w="90" w:type="dxa"/>
            </w:tcMar>
            <w:shd w:fill="262626"/>
          </w:tcPr>
          <w:p>
            <w:pPr>
              <w:spacing w:after="0" w:line="252" w:lineRule="auto"/>
            </w:pPr>
            <w:r>
              <w:rPr>
                <w:b/>
                <w:color w:val="FFFFFF"/>
                <w:sz w:val="20"/>
              </w:rPr>
              <w:t>Avoid</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“Your launch needs a clear story and a team that can carry it through.”</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“We are the ultimate 360 degree powerhouse.”</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“Strategy, design and campaign thinking around one brief.”</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A long service list without explaining the connection.</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“Here is how the visual system connects three films.”</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“We transformed results” without approved evidence.</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Real observations and approved personal perspectives</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Invented founder quotes or generic motivational posts.</w:t>
            </w:r>
          </w:p>
        </w:tc>
      </w:tr>
    </w:tbl>
    <w:p>
      <w:pPr>
        <w:spacing w:after="0"/>
      </w:pPr>
    </w:p>
    <w:p>
      <w:pPr>
        <w:pStyle w:val="Heading2"/>
      </w:pPr>
      <w:r>
        <w:t>Language already present in the website</w:t>
      </w:r>
    </w:p>
    <w:p>
      <w:pPr/>
      <w:r>
        <w:t>The Growth Collective. Create. Connect. Compound. Big Ambitions. Connected Solutions. One ecosystem. Endless growth. Let’s Build What’s Next. Use these selectively as brand language, not as proof of guaranteed outcomes.</w:t>
      </w:r>
    </w:p>
    <w:p>
      <w:pPr>
        <w:pStyle w:val="Heading2"/>
      </w:pPr>
      <w:r>
        <w:t>Calls to action</w:t>
      </w:r>
    </w:p>
    <w:p>
      <w:pPr/>
      <w:r>
        <w:t>Use one relevant next step: “Explore the collective,” “See the work,” “Tell us what you’re building,” or “Start a conversation.” Point to the matching website page or the company’s approved enquiry destination.</w:t>
      </w:r>
    </w:p>
    <w:p>
      <w:r>
        <w:br w:type="page"/>
      </w:r>
    </w:p>
    <w:p>
      <w:pPr>
        <w:pStyle w:val="Heading1"/>
      </w:pPr>
      <w:r>
        <w:t>Visual Direction for Social Media</w:t>
      </w:r>
    </w:p>
    <w:p>
      <w:pPr/>
      <w:r>
        <w:t>Translate the website’s strong typography, dark surfaces and precise red emphasis into a flexible social design system. The result should feel like Madverse even when the logo is small.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tcMar>
              <w:top w:w="90" w:type="dxa"/>
              <w:left w:w="90" w:type="dxa"/>
              <w:bottom w:w="90" w:type="dxa"/>
              <w:right w:w="90" w:type="dxa"/>
            </w:tcMar>
            <w:shd w:fill="262626"/>
          </w:tcPr>
          <w:p>
            <w:pPr>
              <w:spacing w:after="0" w:line="252" w:lineRule="auto"/>
            </w:pPr>
            <w:r>
              <w:rPr>
                <w:b/>
                <w:color w:val="FFFFFF"/>
                <w:sz w:val="20"/>
              </w:rPr>
              <w:t>Element</w:t>
            </w:r>
          </w:p>
        </w:tc>
        <w:tc>
          <w:tcPr>
            <w:tcW w:type="dxa" w:w="7056"/>
            <w:vAlign w:val="center"/>
            <w:tcMar>
              <w:top w:w="90" w:type="dxa"/>
              <w:left w:w="90" w:type="dxa"/>
              <w:bottom w:w="90" w:type="dxa"/>
              <w:right w:w="90" w:type="dxa"/>
            </w:tcMar>
            <w:shd w:fill="262626"/>
          </w:tcPr>
          <w:p>
            <w:pPr>
              <w:spacing w:after="0" w:line="252" w:lineRule="auto"/>
            </w:pPr>
            <w:r>
              <w:rPr>
                <w:b/>
                <w:color w:val="FFFFFF"/>
                <w:sz w:val="20"/>
              </w:rPr>
              <w:t>Direction</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Core colours</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Black #000000; near black #0A0A0A; brand red #ED1C24; white #FFFFFF.</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Supporting colours</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Off white #F5F5F3; secondary text #B3B3B3; dark surfaces #141414 and #1E1E1E.</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Typography</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Celias is the website family. Use approved licensed font files; confirm social use rights. Bold or black for headlines, regular for body.</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Composition</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Clear grids, generous breathing room, thin dividers and strong alignment. Keep headline hierarchy consistent.</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Emphasis</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Use red for a key phrase, a connection or a focal point. Avoid turning every element red.</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Imagery</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Real campaign assets, approved portraits and selective architectural or connected system imagery. Preserve client work colours.</w:t>
            </w:r>
          </w:p>
        </w:tc>
      </w:tr>
    </w:tbl>
    <w:p>
      <w:pPr>
        <w:spacing w:after="0"/>
      </w:pPr>
    </w:p>
    <w:p>
      <w:pPr>
        <w:pStyle w:val="Heading2"/>
      </w:pPr>
      <w:r>
        <w:t>Three proposed template families</w:t>
      </w:r>
    </w:p>
    <w:p>
      <w:pPr/>
      <w:r>
        <w:t>Brand and ideas: black canvas, short white uppercase headline, one red phrase, a small brand mark and a clear supporting line.</w:t>
      </w:r>
    </w:p>
    <w:p>
      <w:pPr/>
      <w:r>
        <w:t>Work and evidence: let the approved project image lead. Add a concise challenge, contribution or result with a restrained brand frame.</w:t>
      </w:r>
    </w:p>
    <w:p>
      <w:pPr/>
      <w:r>
        <w:t>People and perspective: real portrait or studio image, name and role, plus approved words. Use off white selectively to vary the feed.</w:t>
      </w:r>
    </w:p>
    <w:p>
      <w:pPr>
        <w:pStyle w:val="Heading2"/>
      </w:pPr>
      <w:r>
        <w:t>Mobile readability and motion</w:t>
      </w:r>
    </w:p>
    <w:p>
      <w:pPr/>
      <w:r>
        <w:t>Keep one main message per frame. Use uppercase for short headlines, sentence case for explanations, and enough space around text. Preview at actual phone size before approval. For motion, use clean reveals and meaningful connections; avoid flashing or constant movement that competes with the message.</w:t>
      </w:r>
    </w:p>
    <w:p>
      <w:pPr>
        <w:pStyle w:val="Heading2"/>
      </w:pPr>
      <w:r>
        <w:t>How one post should be organised</w:t>
      </w:r>
    </w:p>
    <w:p>
      <w:pPr/>
      <w:r>
        <w:t>Give the headline the first reading priority, the explanation the second, and the brand mark or call to action the third. For example, place “BIG AMBITIONS” in white and “CONNECTED SOLUTIONS” in red, then use a short sentence to explain the promise. The connection between the visual and the message matters more than adding decorative shapes.</w:t>
      </w:r>
    </w:p>
    <w:p>
      <w:pPr/>
      <w:r>
        <w:t>Use official logos without stretching, redrawing or unnecessary effects. Treat AI images as concept artwork; never use them to imply a real employee, client project or business result.</w:t>
      </w:r>
    </w:p>
    <w:p>
      <w:r>
        <w:br w:type="page"/>
      </w:r>
    </w:p>
    <w:p>
      <w:pPr>
        <w:pStyle w:val="Heading1"/>
      </w:pPr>
      <w:r>
        <w:t>Content Pillars and Formats</w:t>
      </w:r>
    </w:p>
    <w:p>
      <w:pPr/>
      <w:r>
        <w:t>The following is a proposed starting mix for the content creator. It is an editorial direction, not a claim about platform performance. Adjust it after audience priorities and available assets are confirmed.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264"/>
        <w:gridCol w:w="1296"/>
      </w:tblGrid>
      <w:tr>
        <w:trPr>
          <w:cantSplit/>
          <w:tblHeader/>
        </w:trPr>
        <w:tc>
          <w:tcPr>
            <w:tcW w:type="dxa" w:w="2376"/>
            <w:vAlign w:val="center"/>
            <w:tcMar>
              <w:top w:w="90" w:type="dxa"/>
              <w:left w:w="90" w:type="dxa"/>
              <w:bottom w:w="90" w:type="dxa"/>
              <w:right w:w="90" w:type="dxa"/>
            </w:tcMar>
            <w:shd w:fill="262626"/>
          </w:tcPr>
          <w:p>
            <w:pPr>
              <w:spacing w:after="0" w:line="252" w:lineRule="auto"/>
            </w:pPr>
            <w:r>
              <w:rPr>
                <w:b/>
                <w:color w:val="FFFFFF"/>
                <w:sz w:val="20"/>
              </w:rPr>
              <w:t>Pillar</w:t>
            </w:r>
          </w:p>
        </w:tc>
        <w:tc>
          <w:tcPr>
            <w:tcW w:type="dxa" w:w="6264"/>
            <w:vAlign w:val="center"/>
            <w:tcMar>
              <w:top w:w="90" w:type="dxa"/>
              <w:left w:w="90" w:type="dxa"/>
              <w:bottom w:w="90" w:type="dxa"/>
              <w:right w:w="90" w:type="dxa"/>
            </w:tcMar>
            <w:shd w:fill="262626"/>
          </w:tcPr>
          <w:p>
            <w:pPr>
              <w:spacing w:after="0" w:line="252" w:lineRule="auto"/>
            </w:pPr>
            <w:r>
              <w:rPr>
                <w:b/>
                <w:color w:val="FFFFFF"/>
                <w:sz w:val="20"/>
              </w:rPr>
              <w:t>What it should do</w:t>
            </w:r>
          </w:p>
        </w:tc>
        <w:tc>
          <w:tcPr>
            <w:tcW w:type="dxa" w:w="1296"/>
            <w:vAlign w:val="center"/>
            <w:tcMar>
              <w:top w:w="90" w:type="dxa"/>
              <w:left w:w="90" w:type="dxa"/>
              <w:bottom w:w="90" w:type="dxa"/>
              <w:right w:w="90" w:type="dxa"/>
            </w:tcMar>
            <w:shd w:fill="262626"/>
          </w:tcPr>
          <w:p>
            <w:pPr>
              <w:spacing w:after="0" w:line="252" w:lineRule="auto"/>
            </w:pPr>
            <w:r>
              <w:rPr>
                <w:b/>
                <w:color w:val="FFFFFF"/>
                <w:sz w:val="20"/>
              </w:rPr>
              <w:t>Starter share</w:t>
            </w:r>
          </w:p>
        </w:tc>
      </w:tr>
      <w:tr>
        <w:trPr>
          <w:cantSplit/>
        </w:trPr>
        <w:tc>
          <w:tcPr>
            <w:tcW w:type="dxa" w:w="2376"/>
            <w:vAlign w:val="center"/>
            <w:tcMar>
              <w:top w:w="90" w:type="dxa"/>
              <w:left w:w="90" w:type="dxa"/>
              <w:bottom w:w="90" w:type="dxa"/>
              <w:right w:w="90" w:type="dxa"/>
            </w:tcMar>
            <w:shd w:fill="FFFFFF"/>
          </w:tcPr>
          <w:p>
            <w:pPr>
              <w:spacing w:after="0" w:line="252" w:lineRule="auto"/>
            </w:pPr>
            <w:r>
              <w:rPr>
                <w:b w:val="0"/>
                <w:color w:val="202020"/>
                <w:sz w:val="20"/>
              </w:rPr>
              <w:t>The collective explained</w:t>
            </w:r>
          </w:p>
        </w:tc>
        <w:tc>
          <w:tcPr>
            <w:tcW w:type="dxa" w:w="6264"/>
            <w:vAlign w:val="center"/>
            <w:tcMar>
              <w:top w:w="90" w:type="dxa"/>
              <w:left w:w="90" w:type="dxa"/>
              <w:bottom w:w="90" w:type="dxa"/>
              <w:right w:w="90" w:type="dxa"/>
            </w:tcMar>
            <w:shd w:fill="FFFFFF"/>
          </w:tcPr>
          <w:p>
            <w:pPr>
              <w:spacing w:after="0" w:line="252" w:lineRule="auto"/>
            </w:pPr>
            <w:r>
              <w:rPr>
                <w:b w:val="0"/>
                <w:color w:val="202020"/>
                <w:sz w:val="20"/>
              </w:rPr>
              <w:t>Clarify the model and what a brand can ask Madverse to solve.</w:t>
            </w:r>
          </w:p>
        </w:tc>
        <w:tc>
          <w:tcPr>
            <w:tcW w:type="dxa" w:w="1296"/>
            <w:vAlign w:val="center"/>
            <w:tcMar>
              <w:top w:w="90" w:type="dxa"/>
              <w:left w:w="90" w:type="dxa"/>
              <w:bottom w:w="90" w:type="dxa"/>
              <w:right w:w="90" w:type="dxa"/>
            </w:tcMar>
            <w:shd w:fill="FFFFFF"/>
          </w:tcPr>
          <w:p>
            <w:pPr>
              <w:spacing w:after="0" w:line="252" w:lineRule="auto"/>
            </w:pPr>
            <w:r>
              <w:rPr>
                <w:b w:val="0"/>
                <w:color w:val="202020"/>
                <w:sz w:val="20"/>
              </w:rPr>
              <w:t>25%</w:t>
            </w:r>
          </w:p>
        </w:tc>
      </w:tr>
      <w:tr>
        <w:trPr>
          <w:cantSplit/>
        </w:trPr>
        <w:tc>
          <w:tcPr>
            <w:tcW w:type="dxa" w:w="2376"/>
            <w:vAlign w:val="center"/>
            <w:tcMar>
              <w:top w:w="90" w:type="dxa"/>
              <w:left w:w="90" w:type="dxa"/>
              <w:bottom w:w="90" w:type="dxa"/>
              <w:right w:w="90" w:type="dxa"/>
            </w:tcMar>
            <w:shd w:fill="F5F5F3"/>
          </w:tcPr>
          <w:p>
            <w:pPr>
              <w:spacing w:after="0" w:line="252" w:lineRule="auto"/>
            </w:pPr>
            <w:r>
              <w:rPr>
                <w:b w:val="0"/>
                <w:color w:val="202020"/>
                <w:sz w:val="20"/>
              </w:rPr>
              <w:t>Work and evidence</w:t>
            </w:r>
          </w:p>
        </w:tc>
        <w:tc>
          <w:tcPr>
            <w:tcW w:type="dxa" w:w="6264"/>
            <w:vAlign w:val="center"/>
            <w:tcMar>
              <w:top w:w="90" w:type="dxa"/>
              <w:left w:w="90" w:type="dxa"/>
              <w:bottom w:w="90" w:type="dxa"/>
              <w:right w:w="90" w:type="dxa"/>
            </w:tcMar>
            <w:shd w:fill="F5F5F3"/>
          </w:tcPr>
          <w:p>
            <w:pPr>
              <w:spacing w:after="0" w:line="252" w:lineRule="auto"/>
            </w:pPr>
            <w:r>
              <w:rPr>
                <w:b w:val="0"/>
                <w:color w:val="202020"/>
                <w:sz w:val="20"/>
              </w:rPr>
              <w:t>Show approved projects, contributions and substantiated results.</w:t>
            </w:r>
          </w:p>
        </w:tc>
        <w:tc>
          <w:tcPr>
            <w:tcW w:type="dxa" w:w="1296"/>
            <w:vAlign w:val="center"/>
            <w:tcMar>
              <w:top w:w="90" w:type="dxa"/>
              <w:left w:w="90" w:type="dxa"/>
              <w:bottom w:w="90" w:type="dxa"/>
              <w:right w:w="90" w:type="dxa"/>
            </w:tcMar>
            <w:shd w:fill="F5F5F3"/>
          </w:tcPr>
          <w:p>
            <w:pPr>
              <w:spacing w:after="0" w:line="252" w:lineRule="auto"/>
            </w:pPr>
            <w:r>
              <w:rPr>
                <w:b w:val="0"/>
                <w:color w:val="202020"/>
                <w:sz w:val="20"/>
              </w:rPr>
              <w:t>25%</w:t>
            </w:r>
          </w:p>
        </w:tc>
      </w:tr>
      <w:tr>
        <w:trPr>
          <w:cantSplit/>
        </w:trPr>
        <w:tc>
          <w:tcPr>
            <w:tcW w:type="dxa" w:w="2376"/>
            <w:vAlign w:val="center"/>
            <w:tcMar>
              <w:top w:w="90" w:type="dxa"/>
              <w:left w:w="90" w:type="dxa"/>
              <w:bottom w:w="90" w:type="dxa"/>
              <w:right w:w="90" w:type="dxa"/>
            </w:tcMar>
            <w:shd w:fill="FFFFFF"/>
          </w:tcPr>
          <w:p>
            <w:pPr>
              <w:spacing w:after="0" w:line="252" w:lineRule="auto"/>
            </w:pPr>
            <w:r>
              <w:rPr>
                <w:b w:val="0"/>
                <w:color w:val="202020"/>
                <w:sz w:val="20"/>
              </w:rPr>
              <w:t>Useful thinking</w:t>
            </w:r>
          </w:p>
        </w:tc>
        <w:tc>
          <w:tcPr>
            <w:tcW w:type="dxa" w:w="6264"/>
            <w:vAlign w:val="center"/>
            <w:tcMar>
              <w:top w:w="90" w:type="dxa"/>
              <w:left w:w="90" w:type="dxa"/>
              <w:bottom w:w="90" w:type="dxa"/>
              <w:right w:w="90" w:type="dxa"/>
            </w:tcMar>
            <w:shd w:fill="FFFFFF"/>
          </w:tcPr>
          <w:p>
            <w:pPr>
              <w:spacing w:after="0" w:line="252" w:lineRule="auto"/>
            </w:pPr>
            <w:r>
              <w:rPr>
                <w:b w:val="0"/>
                <w:color w:val="202020"/>
                <w:sz w:val="20"/>
              </w:rPr>
              <w:t>Explain creative, strategic and digital decisions through examples.</w:t>
            </w:r>
          </w:p>
        </w:tc>
        <w:tc>
          <w:tcPr>
            <w:tcW w:type="dxa" w:w="1296"/>
            <w:vAlign w:val="center"/>
            <w:tcMar>
              <w:top w:w="90" w:type="dxa"/>
              <w:left w:w="90" w:type="dxa"/>
              <w:bottom w:w="90" w:type="dxa"/>
              <w:right w:w="90" w:type="dxa"/>
            </w:tcMar>
            <w:shd w:fill="FFFFFF"/>
          </w:tcPr>
          <w:p>
            <w:pPr>
              <w:spacing w:after="0" w:line="252" w:lineRule="auto"/>
            </w:pPr>
            <w:r>
              <w:rPr>
                <w:b w:val="0"/>
                <w:color w:val="202020"/>
                <w:sz w:val="20"/>
              </w:rPr>
              <w:t>20%</w:t>
            </w:r>
          </w:p>
        </w:tc>
      </w:tr>
      <w:tr>
        <w:trPr>
          <w:cantSplit/>
        </w:trPr>
        <w:tc>
          <w:tcPr>
            <w:tcW w:type="dxa" w:w="2376"/>
            <w:vAlign w:val="center"/>
            <w:tcMar>
              <w:top w:w="90" w:type="dxa"/>
              <w:left w:w="90" w:type="dxa"/>
              <w:bottom w:w="90" w:type="dxa"/>
              <w:right w:w="90" w:type="dxa"/>
            </w:tcMar>
            <w:shd w:fill="F5F5F3"/>
          </w:tcPr>
          <w:p>
            <w:pPr>
              <w:spacing w:after="0" w:line="252" w:lineRule="auto"/>
            </w:pPr>
            <w:r>
              <w:rPr>
                <w:b w:val="0"/>
                <w:color w:val="202020"/>
                <w:sz w:val="20"/>
              </w:rPr>
              <w:t>People and culture</w:t>
            </w:r>
          </w:p>
        </w:tc>
        <w:tc>
          <w:tcPr>
            <w:tcW w:type="dxa" w:w="6264"/>
            <w:vAlign w:val="center"/>
            <w:tcMar>
              <w:top w:w="90" w:type="dxa"/>
              <w:left w:w="90" w:type="dxa"/>
              <w:bottom w:w="90" w:type="dxa"/>
              <w:right w:w="90" w:type="dxa"/>
            </w:tcMar>
            <w:shd w:fill="F5F5F3"/>
          </w:tcPr>
          <w:p>
            <w:pPr>
              <w:spacing w:after="0" w:line="252" w:lineRule="auto"/>
            </w:pPr>
            <w:r>
              <w:rPr>
                <w:b w:val="0"/>
                <w:color w:val="202020"/>
                <w:sz w:val="20"/>
              </w:rPr>
              <w:t>Introduce real people and show how collaboration feels in practice.</w:t>
            </w:r>
          </w:p>
        </w:tc>
        <w:tc>
          <w:tcPr>
            <w:tcW w:type="dxa" w:w="1296"/>
            <w:vAlign w:val="center"/>
            <w:tcMar>
              <w:top w:w="90" w:type="dxa"/>
              <w:left w:w="90" w:type="dxa"/>
              <w:bottom w:w="90" w:type="dxa"/>
              <w:right w:w="90" w:type="dxa"/>
            </w:tcMar>
            <w:shd w:fill="F5F5F3"/>
          </w:tcPr>
          <w:p>
            <w:pPr>
              <w:spacing w:after="0" w:line="252" w:lineRule="auto"/>
            </w:pPr>
            <w:r>
              <w:rPr>
                <w:b w:val="0"/>
                <w:color w:val="202020"/>
                <w:sz w:val="20"/>
              </w:rPr>
              <w:t>15%</w:t>
            </w:r>
          </w:p>
        </w:tc>
      </w:tr>
      <w:tr>
        <w:trPr>
          <w:cantSplit/>
        </w:trPr>
        <w:tc>
          <w:tcPr>
            <w:tcW w:type="dxa" w:w="2376"/>
            <w:vAlign w:val="center"/>
            <w:tcMar>
              <w:top w:w="90" w:type="dxa"/>
              <w:left w:w="90" w:type="dxa"/>
              <w:bottom w:w="90" w:type="dxa"/>
              <w:right w:w="90" w:type="dxa"/>
            </w:tcMar>
            <w:shd w:fill="FFFFFF"/>
          </w:tcPr>
          <w:p>
            <w:pPr>
              <w:spacing w:after="0" w:line="252" w:lineRule="auto"/>
            </w:pPr>
            <w:r>
              <w:rPr>
                <w:b w:val="0"/>
                <w:color w:val="202020"/>
                <w:sz w:val="20"/>
              </w:rPr>
              <w:t>Founder perspective</w:t>
            </w:r>
          </w:p>
        </w:tc>
        <w:tc>
          <w:tcPr>
            <w:tcW w:type="dxa" w:w="6264"/>
            <w:vAlign w:val="center"/>
            <w:tcMar>
              <w:top w:w="90" w:type="dxa"/>
              <w:left w:w="90" w:type="dxa"/>
              <w:bottom w:w="90" w:type="dxa"/>
              <w:right w:w="90" w:type="dxa"/>
            </w:tcMar>
            <w:shd w:fill="FFFFFF"/>
          </w:tcPr>
          <w:p>
            <w:pPr>
              <w:spacing w:after="0" w:line="252" w:lineRule="auto"/>
            </w:pPr>
            <w:r>
              <w:rPr>
                <w:b w:val="0"/>
                <w:color w:val="202020"/>
                <w:sz w:val="20"/>
              </w:rPr>
              <w:t>Share approved thinking about brands, business and building the collective.</w:t>
            </w:r>
          </w:p>
        </w:tc>
        <w:tc>
          <w:tcPr>
            <w:tcW w:type="dxa" w:w="1296"/>
            <w:vAlign w:val="center"/>
            <w:tcMar>
              <w:top w:w="90" w:type="dxa"/>
              <w:left w:w="90" w:type="dxa"/>
              <w:bottom w:w="90" w:type="dxa"/>
              <w:right w:w="90" w:type="dxa"/>
            </w:tcMar>
            <w:shd w:fill="FFFFFF"/>
          </w:tcPr>
          <w:p>
            <w:pPr>
              <w:spacing w:after="0" w:line="252" w:lineRule="auto"/>
            </w:pPr>
            <w:r>
              <w:rPr>
                <w:b w:val="0"/>
                <w:color w:val="202020"/>
                <w:sz w:val="20"/>
              </w:rPr>
              <w:t>15%</w:t>
            </w:r>
          </w:p>
        </w:tc>
      </w:tr>
    </w:tbl>
    <w:p>
      <w:pPr>
        <w:spacing w:after="0"/>
      </w:pPr>
    </w:p>
    <w:p>
      <w:pPr>
        <w:pStyle w:val="Heading2"/>
      </w:pPr>
      <w:r>
        <w:t>Proposed channel roles</w:t>
      </w:r>
    </w:p>
    <w:p>
      <w:pPr/>
      <w:r>
        <w:t>Instagram can serve as the visual expression of the collective: work, short explainers, people and motion. LinkedIn can carry business context, project decisions and founder perspectives. Confirm these channels with the company before fixing the publishing plan; adapt the same idea to the reader and format rather than duplicating every caption.</w:t>
      </w:r>
    </w:p>
    <w:p>
      <w:pPr>
        <w:pStyle w:val="Heading2"/>
      </w:pPr>
      <w:r>
        <w:t>Repeatable series</w:t>
      </w:r>
    </w:p>
    <w:p>
      <w:pPr/>
      <w:r>
        <w:t>Inside the Collective: one challenge, the relevant specialists and their contribution.</w:t>
      </w:r>
    </w:p>
    <w:p>
      <w:pPr/>
      <w:r>
        <w:t>Behind the Work: brief, creative decision, execution and approved evidence.</w:t>
      </w:r>
    </w:p>
    <w:p>
      <w:pPr/>
      <w:r>
        <w:t>Growth Thinking: one useful observation with a concrete example.</w:t>
      </w:r>
    </w:p>
    <w:p>
      <w:pPr/>
      <w:r>
        <w:t>Meet the People: authentic portraits and approved first person perspectives.</w:t>
      </w:r>
    </w:p>
    <w:p>
      <w:pPr/>
      <w:r>
        <w:t>Mad Talks: approved excerpts or ideas from the company’s existing conversation content.</w:t>
      </w:r>
    </w:p>
    <w:p>
      <w:pPr>
        <w:pStyle w:val="Heading2"/>
      </w:pPr>
      <w:r>
        <w:t>What a strong post contains</w:t>
      </w:r>
    </w:p>
    <w:p>
      <w:pPr/>
      <w:r>
        <w:t>A clear hook, one useful idea, a concrete example or visual, and one appropriate next step. Each content brief should name the audience, objective, pillar, asset source, copy, format and approver.</w:t>
      </w:r>
    </w:p>
    <w:p>
      <w:pPr>
        <w:pStyle w:val="Heading2"/>
      </w:pPr>
      <w:r>
        <w:t>How to judge whether content is useful</w:t>
      </w:r>
    </w:p>
    <w:p>
      <w:pPr/>
      <w:r>
        <w:t>Match evaluation to the post’s purpose. Explanatory posts should help people understand or ask relevant questions; work posts should support interest in the project; enquiry posts should lead to useful conversations. Review available engagement and enquiry context together. Treat this as a proposed review approach, with targets and reporting agreed by the company.</w:t>
      </w:r>
    </w:p>
    <w:p>
      <w:r>
        <w:br w:type="page"/>
      </w:r>
    </w:p>
    <w:p>
      <w:pPr>
        <w:pStyle w:val="Heading1"/>
      </w:pPr>
      <w:r>
        <w:t>Twelve Starter Post Ideas</w:t>
      </w:r>
    </w:p>
    <w:p>
      <w:pPr/>
      <w:r>
        <w:t>Suggested opening sequence. These are briefs to develop, not preapproved publication copy. Case and people posts depend on the availability of approved assets and words.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tcMar>
              <w:top w:w="90" w:type="dxa"/>
              <w:left w:w="90" w:type="dxa"/>
              <w:bottom w:w="90" w:type="dxa"/>
              <w:right w:w="90" w:type="dxa"/>
            </w:tcMar>
            <w:shd w:fill="262626"/>
          </w:tcPr>
          <w:p>
            <w:pPr>
              <w:spacing w:after="0" w:line="252" w:lineRule="auto"/>
            </w:pPr>
            <w:r>
              <w:rPr>
                <w:b/>
                <w:color w:val="FFFFFF"/>
                <w:sz w:val="20"/>
              </w:rPr>
              <w:t>Post</w:t>
            </w:r>
          </w:p>
        </w:tc>
        <w:tc>
          <w:tcPr>
            <w:tcW w:type="dxa" w:w="7056"/>
            <w:vAlign w:val="center"/>
            <w:tcMar>
              <w:top w:w="90" w:type="dxa"/>
              <w:left w:w="90" w:type="dxa"/>
              <w:bottom w:w="90" w:type="dxa"/>
              <w:right w:w="90" w:type="dxa"/>
            </w:tcMar>
            <w:shd w:fill="262626"/>
          </w:tcPr>
          <w:p>
            <w:pPr>
              <w:spacing w:after="0" w:line="252" w:lineRule="auto"/>
            </w:pPr>
            <w:r>
              <w:rPr>
                <w:b/>
                <w:color w:val="FFFFFF"/>
                <w:sz w:val="20"/>
              </w:rPr>
              <w:t>Idea and visual treatment</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1  Meet Madverse</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Introduce The Growth Collective. A short typography led carousel defining the company in plain language.</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2  The problem we address</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Show how disconnected handoffs can interrupt a brand story, then illustrate shared direction.</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3  Your challenge</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Four cards: Brand Launch, Campaign, Digital Experience and Content Growth. Explain the need behind each.</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4  One launch together</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Use the illustrative launch example to connect Marketing, Design and Advertising. Label it as illustrative.</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5  Create Connect Compound</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Explain the philosophy with one practical action for each word.</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6  Ten specialists</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An easy to scan ecosystem carousel with one concise role per division. Confirm overlapping scopes first.</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7  Behind Thanda Funda</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Use approved Haldiram’s campaign assets to explain the three film creative system. Do not invent sales results.</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8  A design decision</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Show one approved identity or campaign detail and explain why that decision supports the brief.</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9  Meet Vaibhav Arora</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Real portrait, confirmed role and a short approved founder introduction.</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10  Principles in practice</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Use a real example of Stay curious, Move together, Own the outcome or Keep it human.</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11  Mad Talks insight</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One approved excerpt with context, speaker attribution and permission to use the recording.</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12  Start a conversation</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A direct invitation: what are you building next? Connect the need to the collective and enquiry page.</w:t>
            </w:r>
          </w:p>
        </w:tc>
      </w:tr>
    </w:tbl>
    <w:p>
      <w:pPr>
        <w:spacing w:after="0"/>
      </w:pPr>
    </w:p>
    <w:p>
      <w:pPr/>
      <w:r>
        <w:t>Use the first three as candidate profile introduction posts. Alternate explanatory content with work and people so the feed builds understanding and trust rather than repeating service promotions.</w:t>
      </w:r>
    </w:p>
    <w:p>
      <w:r>
        <w:br w:type="page"/>
      </w:r>
    </w:p>
    <w:p>
      <w:pPr>
        <w:pStyle w:val="Heading1"/>
      </w:pPr>
      <w:r>
        <w:t>Sample Creative Brief and Copy</w:t>
      </w:r>
    </w:p>
    <w:p>
      <w:pPr>
        <w:pStyle w:val="Heading2"/>
      </w:pPr>
      <w:r>
        <w:t>Carousel introducing the collective</w:t>
      </w:r>
    </w:p>
    <w:p>
      <w:pPr/>
      <w:r>
        <w:t>Objective: help a first time visitor understand Madverse. Audience: a founder or marketing leader. Visual direction: bold white typography on black, red used to show the connection between capabilities.</w:t>
      </w:r>
    </w:p>
    <w:p>
      <w:pPr/>
      <w:r>
        <w:t>Frame 1: “BIG AMBITIONS. CONNECTED SOLUTIONS.” Supporting line: “Meet Madverse. The Growth Collective.”</w:t>
      </w:r>
    </w:p>
    <w:p>
      <w:pPr/>
      <w:r>
        <w:t>Frame 2: “START WITH THE CHALLENGE.” Supporting line: “A launch. A campaign. A digital experience. A stronger content engine.”</w:t>
      </w:r>
    </w:p>
    <w:p>
      <w:pPr/>
      <w:r>
        <w:t>Frame 3: “BRING THE RIGHT SPECIALISTS.” Supporting line: “Connect strategy, creativity, technology and execution around the brief.”</w:t>
      </w:r>
    </w:p>
    <w:p>
      <w:pPr/>
      <w:r>
        <w:t>Frame 4: “MOVE WITH SHARED DIRECTION.” Supporting line: “Help every contribution carry the same brand story.”</w:t>
      </w:r>
    </w:p>
    <w:p>
      <w:pPr/>
      <w:r>
        <w:t>Frame 5: “WHAT ARE YOU BUILDING NEXT?” Supporting line: “Explore the collective. Start a conversation.”</w:t>
      </w:r>
    </w:p>
    <w:p>
      <w:pPr>
        <w:pStyle w:val="Heading2"/>
      </w:pPr>
      <w:r>
        <w:t>Suggested caption</w:t>
      </w:r>
    </w:p>
    <w:p>
      <w:pPr/>
      <w:r>
        <w:t>“A brand ambition rarely fits inside one discipline. Madverse brings specialist teams together around the challenge, from strategy and identity to campaigns, content and digital experiences. Tell us what you’re building. Let’s find the right capabilities to move it forward.”</w:t>
      </w:r>
    </w:p>
    <w:p>
      <w:pPr>
        <w:pStyle w:val="Heading2"/>
      </w:pPr>
      <w:r>
        <w:t>How to develop a work post</w:t>
      </w:r>
    </w:p>
    <w:p>
      <w:pPr/>
      <w:r>
        <w:t>Use this structure: the client challenge; the relevant divisions and their actual roles; one creative or technical decision; the finished output; an approved result if available. If no business result is confirmed, describe the deliverable and decision without implying commercial impact.</w:t>
      </w:r>
    </w:p>
    <w:p>
      <w:pPr>
        <w:pStyle w:val="Heading2"/>
      </w:pPr>
      <w:r>
        <w:t>How to develop a people post</w:t>
      </w:r>
    </w:p>
    <w:p>
      <w:pPr/>
      <w:r>
        <w:t>Ask the real person for one specific example of their work or collaboration. Edit for clarity, obtain approval, then pair the words with their real portrait, name and role. A portrait plus a generic quote should not substitute for an authentic story.</w:t>
      </w:r>
    </w:p>
    <w:p>
      <w:pPr>
        <w:pStyle w:val="Heading2"/>
      </w:pPr>
      <w:r>
        <w:t>A second caption for a work story</w:t>
      </w:r>
    </w:p>
    <w:p>
      <w:pPr/>
      <w:r>
        <w:t>Suggested structure: “The challenge was [approved client need]. Our role was [confirmed contribution]. We chose [specific creative decision] because [reason linked to the brief]. The work became [approved deliverables]. Explore the project.” Replace every bracket with verified details before use.</w:t>
      </w:r>
    </w:p>
    <w:p>
      <w:r>
        <w:br w:type="page"/>
      </w:r>
    </w:p>
    <w:p>
      <w:pPr>
        <w:pStyle w:val="Heading1"/>
      </w:pPr>
      <w:r>
        <w:t>Marketing Terms in Plain Language</w:t>
      </w:r>
    </w:p>
    <w:p>
      <w:pPr/>
      <w:r>
        <w:t>Use these explanations when turning specialist language into accessible content. A person new to Madverse should not need marketing experience to understand the company.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tcMar>
              <w:top w:w="90" w:type="dxa"/>
              <w:left w:w="90" w:type="dxa"/>
              <w:bottom w:w="90" w:type="dxa"/>
              <w:right w:w="90" w:type="dxa"/>
            </w:tcMar>
            <w:shd w:fill="262626"/>
          </w:tcPr>
          <w:p>
            <w:pPr>
              <w:spacing w:after="0" w:line="252" w:lineRule="auto"/>
            </w:pPr>
            <w:r>
              <w:rPr>
                <w:b/>
                <w:color w:val="FFFFFF"/>
                <w:sz w:val="20"/>
              </w:rPr>
              <w:t>Term</w:t>
            </w:r>
          </w:p>
        </w:tc>
        <w:tc>
          <w:tcPr>
            <w:tcW w:type="dxa" w:w="7056"/>
            <w:vAlign w:val="center"/>
            <w:tcMar>
              <w:top w:w="90" w:type="dxa"/>
              <w:left w:w="90" w:type="dxa"/>
              <w:bottom w:w="90" w:type="dxa"/>
              <w:right w:w="90" w:type="dxa"/>
            </w:tcMar>
            <w:shd w:fill="262626"/>
          </w:tcPr>
          <w:p>
            <w:pPr>
              <w:spacing w:after="0" w:line="252" w:lineRule="auto"/>
            </w:pPr>
            <w:r>
              <w:rPr>
                <w:b/>
                <w:color w:val="FFFFFF"/>
                <w:sz w:val="20"/>
              </w:rPr>
              <w:t>Meaning in this brief</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Collective</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The connected Madverse ecosystem and its specialist capabilities.</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Positioning</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The place a brand wants to occupy in its audience’s mind and the reason it should be chosen.</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Brand identity</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The recognisable expression of a brand, including its visual and verbal choices.</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Campaign</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A coordinated set of communications around a particular idea or objective.</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Touchpoint</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A place where a person encounters a brand, such as an advertisement, website, film or post.</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Digital experience</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What someone sees, understands and can do while using a digital product or destination.</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Performance marketing</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Marketing activity connected to defined, measurable objectives. It does not itself guarantee a result.</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Optimisation</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Using evidence and learning to improve a subsequent decision or execution.</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Content pillar</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A recurring subject area that gives a content programme focus and consistency.</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Call to action</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The next step a post invites the reader to take.</w:t>
            </w:r>
          </w:p>
        </w:tc>
      </w:tr>
      <w:tr>
        <w:trPr>
          <w:cantSplit/>
        </w:trPr>
        <w:tc>
          <w:tcPr>
            <w:tcW w:type="dxa" w:w="2880"/>
            <w:vAlign w:val="center"/>
            <w:tcMar>
              <w:top w:w="90" w:type="dxa"/>
              <w:left w:w="90" w:type="dxa"/>
              <w:bottom w:w="90" w:type="dxa"/>
              <w:right w:w="90" w:type="dxa"/>
            </w:tcMar>
            <w:shd w:fill="FFFFFF"/>
          </w:tcPr>
          <w:p>
            <w:pPr>
              <w:spacing w:after="0" w:line="252" w:lineRule="auto"/>
            </w:pPr>
            <w:r>
              <w:rPr>
                <w:b w:val="0"/>
                <w:color w:val="202020"/>
                <w:sz w:val="20"/>
              </w:rPr>
              <w:t>Versioning</w:t>
            </w:r>
          </w:p>
        </w:tc>
        <w:tc>
          <w:tcPr>
            <w:tcW w:type="dxa" w:w="7056"/>
            <w:vAlign w:val="center"/>
            <w:tcMar>
              <w:top w:w="90" w:type="dxa"/>
              <w:left w:w="90" w:type="dxa"/>
              <w:bottom w:w="90" w:type="dxa"/>
              <w:right w:w="90" w:type="dxa"/>
            </w:tcMar>
            <w:shd w:fill="FFFFFF"/>
          </w:tcPr>
          <w:p>
            <w:pPr>
              <w:spacing w:after="0" w:line="252" w:lineRule="auto"/>
            </w:pPr>
            <w:r>
              <w:rPr>
                <w:b w:val="0"/>
                <w:color w:val="202020"/>
                <w:sz w:val="20"/>
              </w:rPr>
              <w:t>Adapting an approved idea into other formats or relevant variations.</w:t>
            </w:r>
          </w:p>
        </w:tc>
      </w:tr>
      <w:tr>
        <w:trPr>
          <w:cantSplit/>
        </w:trPr>
        <w:tc>
          <w:tcPr>
            <w:tcW w:type="dxa" w:w="2880"/>
            <w:vAlign w:val="center"/>
            <w:tcMar>
              <w:top w:w="90" w:type="dxa"/>
              <w:left w:w="90" w:type="dxa"/>
              <w:bottom w:w="90" w:type="dxa"/>
              <w:right w:w="90" w:type="dxa"/>
            </w:tcMar>
            <w:shd w:fill="F5F5F3"/>
          </w:tcPr>
          <w:p>
            <w:pPr>
              <w:spacing w:after="0" w:line="252" w:lineRule="auto"/>
            </w:pPr>
            <w:r>
              <w:rPr>
                <w:b w:val="0"/>
                <w:color w:val="202020"/>
                <w:sz w:val="20"/>
              </w:rPr>
              <w:t>Proof</w:t>
            </w:r>
          </w:p>
        </w:tc>
        <w:tc>
          <w:tcPr>
            <w:tcW w:type="dxa" w:w="7056"/>
            <w:vAlign w:val="center"/>
            <w:tcMar>
              <w:top w:w="90" w:type="dxa"/>
              <w:left w:w="90" w:type="dxa"/>
              <w:bottom w:w="90" w:type="dxa"/>
              <w:right w:w="90" w:type="dxa"/>
            </w:tcMar>
            <w:shd w:fill="F5F5F3"/>
          </w:tcPr>
          <w:p>
            <w:pPr>
              <w:spacing w:after="0" w:line="252" w:lineRule="auto"/>
            </w:pPr>
            <w:r>
              <w:rPr>
                <w:b w:val="0"/>
                <w:color w:val="202020"/>
                <w:sz w:val="20"/>
              </w:rPr>
              <w:t>Approved evidence supporting a claim, such as actual work, confirmed contributions or measured results.</w:t>
            </w:r>
          </w:p>
        </w:tc>
      </w:tr>
    </w:tbl>
    <w:p>
      <w:pPr>
        <w:spacing w:after="0"/>
      </w:pPr>
    </w:p>
    <w:p>
      <w:pPr>
        <w:pStyle w:val="Heading2"/>
      </w:pPr>
      <w:r>
        <w:t>The four questions every draft should answer</w:t>
      </w:r>
    </w:p>
    <w:p>
      <w:pPr/>
      <w:r>
        <w:t>Who is this for? What should they understand? What example supports the message? What should they do next? If the draft cannot answer these questions clearly, simplify the idea before making the visual more complex.</w:t>
      </w:r>
    </w:p>
    <w:p>
      <w:r>
        <w:br w:type="page"/>
      </w:r>
    </w:p>
    <w:p>
      <w:pPr>
        <w:pStyle w:val="Heading1"/>
      </w:pPr>
      <w:r>
        <w:t>Assets Approvals and Handoff</w:t>
      </w:r>
    </w:p>
    <w:p>
      <w:pPr>
        <w:pStyle w:val="Heading2"/>
      </w:pPr>
      <w:r>
        <w:t>Materials to collect before production</w:t>
      </w:r>
    </w:p>
    <w:p>
      <w:pPr/>
      <w:r>
        <w:t>Approved master logo, division wordmarks, font files with permitted usage and a shared template library.</w:t>
      </w:r>
    </w:p>
    <w:p>
      <w:pPr/>
      <w:r>
        <w:t>Approved company introduction, final division scopes, contact destination and priority audience.</w:t>
      </w:r>
    </w:p>
    <w:p>
      <w:pPr/>
      <w:r>
        <w:t>Real founder and employee portraits, confirmed names and roles, and approved biographies or quotes.</w:t>
      </w:r>
    </w:p>
    <w:p>
      <w:pPr/>
      <w:r>
        <w:t>Client cleared campaign assets, accurate project roles, credits and supporting evidence for any results.</w:t>
      </w:r>
    </w:p>
    <w:p>
      <w:pPr>
        <w:pStyle w:val="Heading2"/>
      </w:pPr>
      <w:r>
        <w:t>Suggested approval process</w:t>
      </w:r>
    </w:p>
    <w:p>
      <w:pPr/>
      <w:r>
        <w:t>The content creator proposes the idea and copy. The relevant company or division owner verifies the facts. The designer builds the visual. A nominated Madverse approver checks brand consistency and signs off the final copy and asset before scheduling. Keep the approved version and its source together.</w:t>
      </w:r>
    </w:p>
    <w:p>
      <w:pPr>
        <w:pStyle w:val="Heading2"/>
      </w:pPr>
      <w:r>
        <w:t>Website content that needs confirmation</w:t>
      </w:r>
    </w:p>
    <w:p>
      <w:pPr/>
      <w:r>
        <w:t>Do not publish timeline dates or milestones from the About page placeholders. The Culture page includes sample employee profiles and quotes, including Aarav Mehta and Riya Sharma; these must not be presented as real employees. Its illustrative working examples need real evidence before becoming company claims.</w:t>
      </w:r>
    </w:p>
    <w:p>
      <w:pPr/>
      <w:r>
        <w:t>Obtain evidence and approval before using the website’s scale figures, including 250+ brands, 2,500+ projects, 15+ industries, 500M+ consumers reached, 30+ markets and 10K+ creators or talent. Do the same for testimonials, client permissions, awards and performance claims.</w:t>
      </w:r>
    </w:p>
    <w:p>
      <w:pPr>
        <w:pStyle w:val="Heading2"/>
      </w:pPr>
      <w:r>
        <w:t>Website reference map</w:t>
      </w:r>
    </w:p>
    <w:p>
      <w:pPr/>
      <w:r>
        <w:t>Home: positioning, solutions and featured work. About: identity, purpose and founder. Collective and division pages: capabilities and working model. Culture: values and people direction. Think: editorial themes and Mad Talks. Work and project pages: potential case sources. The design tokens define the website palette and Celias typography.</w:t>
      </w:r>
    </w:p>
    <w:p>
      <w:pPr/>
      <w:r>
        <w:t>Keep a simple content record with the post name, final caption, asset source, client or employee permissions where relevant, verified claims, approver and approval date. This is a proposed working habit to help the creator use the correct final version and avoid reusing placeholder content.</w:t>
      </w:r>
    </w:p>
    <w:p>
      <w:pPr>
        <w:pStyle w:val="Heading2"/>
      </w:pPr>
      <w:r>
        <w:t>First delivery from the creative partner</w:t>
      </w:r>
    </w:p>
    <w:p>
      <w:pPr/>
      <w:r>
        <w:t>Propose three reusable design families, develop the first six post briefs with copy and asset references, and produce one finished example from each family for approval. Confirm factual gaps before scaling production. The finished social presence should make Madverse understandable, recognisable and credible.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line="264" w:lineRule="auto"/>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4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64"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60" w:line="264" w:lineRule="auto" w:before="0"/>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Madverse Social Media Brief</dc:title>
  <dc:subject>Company introduction and social media creative direction</dc:subject>
  <dc:creator>Madverse</dc:creator>
  <cp:keywords/>
  <dc:description/>
  <cp:lastModifiedBy/>
  <cp:revision>1</cp:revision>
  <dcterms:created xsi:type="dcterms:W3CDTF">2013-12-23T23:15:00Z</dcterms:created>
  <dcterms:modified xsi:type="dcterms:W3CDTF">2013-12-23T23:15:00Z</dcterms:modified>
  <cp:category/>
</cp:coreProperties>
</file>