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Two: Requirements</w:t>
      </w:r>
    </w:p>
    <w:p>
      <w:pPr>
        <w:spacing w:after="280"/>
        <w:jc w:val="center"/>
        <w:pBdr>
          <w:bottom w:val="single" w:sz="10" w:space="6" w:color="E8660A"/>
        </w:pBdr>
      </w:pPr>
      <w:r>
        <w:rPr>
          <w:color w:val="E8660A"/>
          <w:sz w:val="26"/>
        </w:rPr>
        <w:t>The product requirements document you write from your findings</w:t>
      </w:r>
    </w:p>
    <w:p>
      <w:pPr>
        <w:spacing w:after="400"/>
        <w:jc w:val="center"/>
      </w:pPr>
      <w:r>
        <w:rPr>
          <w:i/>
          <w:color w:val="4A4A63"/>
          <w:sz w:val="21"/>
        </w:rPr>
        <w:t>Everything here must trace back to your discovery workbook. A requirement that</w:t>
        <w:br/>
        <w:t>cannot be traced is a preference, and preferences do not belong in a PRD.</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ONE  ·  DAYS FOUR AND FIVE</w:t>
            </w:r>
          </w:p>
        </w:tc>
      </w:tr>
    </w:tbl>
    <w:p>
      <w:r>
        <w:br w:type="page"/>
      </w:r>
    </w:p>
    <w:p>
      <w:pPr>
        <w:spacing w:before="440" w:after="60"/>
        <w:pBdr>
          <w:bottom w:val="single" w:sz="8" w:space="6" w:color="E8660A"/>
        </w:pBdr>
      </w:pPr>
      <w:r>
        <w:rPr>
          <w:b/>
          <w:color w:val="1A1A2E"/>
          <w:sz w:val="34"/>
        </w:rPr>
        <w:t>What this document is and why it matters</w:t>
      </w:r>
    </w:p>
    <w:p>
      <w:pPr>
        <w:spacing w:after="140"/>
      </w:pPr>
      <w:r>
        <w:rPr>
          <w:i w:val="0"/>
          <w:sz w:val="21"/>
        </w:rPr>
        <w:t>A product requirements document states what is being built, for whom, and how anyone will know when it is finished. It is not a design document and it is not a plan. It should be specific enough that two different engineers reading it would build broadly the same thing, and general enough that it does not dictate how they do it.</w:t>
      </w:r>
    </w:p>
    <w:p>
      <w:pPr>
        <w:spacing w:after="140"/>
      </w:pPr>
      <w:r>
        <w:rPr>
          <w:i w:val="0"/>
          <w:sz w:val="21"/>
        </w:rPr>
        <w:t>You will write version one at the end of week one and you will revise it during week two. That revision is compulsory. Write this version with the expectation that parts of it will turn out to be wrong, and record your assumptions clearly so that you can tell which ones failed when they do.</w:t>
      </w:r>
    </w:p>
    <w:p>
      <w:pPr>
        <w:spacing w:before="200" w:after="60"/>
        <w:jc w:val="center"/>
      </w:pPr>
      <w:r>
        <w:drawing>
          <wp:inline xmlns:a="http://schemas.openxmlformats.org/drawingml/2006/main" xmlns:pic="http://schemas.openxmlformats.org/drawingml/2006/picture">
            <wp:extent cx="6035040" cy="2517289"/>
            <wp:docPr id="1" name="Picture 1"/>
            <wp:cNvGraphicFramePr>
              <a:graphicFrameLocks noChangeAspect="1"/>
            </wp:cNvGraphicFramePr>
            <a:graphic>
              <a:graphicData uri="http://schemas.openxmlformats.org/drawingml/2006/picture">
                <pic:pic>
                  <pic:nvPicPr>
                    <pic:cNvPr id="0" name="prd_revision.png"/>
                    <pic:cNvPicPr/>
                  </pic:nvPicPr>
                  <pic:blipFill>
                    <a:blip r:embed="rId9"/>
                    <a:stretch>
                      <a:fillRect/>
                    </a:stretch>
                  </pic:blipFill>
                  <pic:spPr>
                    <a:xfrm>
                      <a:off x="0" y="0"/>
                      <a:ext cx="6035040" cy="2517289"/>
                    </a:xfrm>
                    <a:prstGeom prst="rect"/>
                  </pic:spPr>
                </pic:pic>
              </a:graphicData>
            </a:graphic>
          </wp:inline>
        </w:drawing>
      </w:r>
    </w:p>
    <w:p>
      <w:pPr>
        <w:spacing w:after="240"/>
        <w:jc w:val="center"/>
      </w:pPr>
      <w:r>
        <w:rPr>
          <w:i/>
          <w:color w:val="4A4A63"/>
          <w:sz w:val="17"/>
        </w:rPr>
        <w:t>Figure 1. The requirements document is expected to change once building starts.</w:t>
      </w:r>
    </w:p>
    <w:p>
      <w:r>
        <w:br w:type="page"/>
      </w:r>
    </w:p>
    <w:p>
      <w:pPr>
        <w:spacing w:before="440" w:after="60"/>
        <w:pBdr>
          <w:bottom w:val="single" w:sz="8" w:space="6" w:color="E8660A"/>
        </w:pBdr>
      </w:pPr>
      <w:r>
        <w:rPr>
          <w:b/>
          <w:color w:val="E8660A"/>
          <w:sz w:val="34"/>
        </w:rPr>
        <w:t xml:space="preserve">1   </w:t>
      </w:r>
      <w:r>
        <w:rPr>
          <w:b/>
          <w:color w:val="1A1A2E"/>
          <w:sz w:val="34"/>
        </w:rPr>
        <w:t>Document control</w:t>
      </w:r>
    </w:p>
    <w:tbl>
      <w:tblPr>
        <w:tblW w:type="auto" w:w="0"/>
        <w:jc w:val="center"/>
        <w:tblLayout w:type="fixed"/>
        <w:tblLook w:firstColumn="1" w:firstRow="1" w:lastColumn="0" w:lastRow="0" w:noHBand="0" w:noVBand="1" w:val="04A0"/>
      </w:tblPr>
      <w:tblGrid>
        <w:gridCol w:w="4824"/>
        <w:gridCol w:w="4824"/>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768"/>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Value</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Version</w:t>
            </w:r>
          </w:p>
        </w:tc>
        <w:tc>
          <w:tcPr>
            <w:tcW w:type="dxa" w:w="6768"/>
            <w:tcBorders>
              <w:top w:val="single" w:sz="6" w:color="D9D9E0"/>
              <w:left w:val="single" w:sz="6" w:color="D9D9E0"/>
              <w:bottom w:val="single" w:sz="6" w:color="D9D9E0"/>
              <w:right w:val="single" w:sz="6" w:color="D9D9E0"/>
            </w:tcBorders>
          </w:tcPr>
          <w:p>
            <w:pPr>
              <w:spacing w:before="50" w:after="50"/>
            </w:pPr>
            <w:r>
              <w:rPr>
                <w:sz w:val="18"/>
              </w:rPr>
              <w:t>1.1 (revised; v1.0 written before the build)</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Written by</w:t>
            </w:r>
          </w:p>
        </w:tc>
        <w:tc>
          <w:tcPr>
            <w:tcW w:type="dxa" w:w="6768"/>
            <w:tcBorders>
              <w:top w:val="single" w:sz="6" w:color="D9D9E0"/>
              <w:left w:val="single" w:sz="6" w:color="D9D9E0"/>
              <w:bottom w:val="single" w:sz="6" w:color="D9D9E0"/>
              <w:right w:val="single" w:sz="6" w:color="D9D9E0"/>
            </w:tcBorders>
            <w:shd w:val="clear" w:fill="F4F4F7"/>
          </w:tcPr>
          <w:p>
            <w:pPr>
              <w:spacing w:before="50" w:after="50"/>
            </w:pPr>
            <w:r>
              <w:rPr>
                <w:sz w:val="18"/>
              </w:rPr>
              <w:t>Balakumaran SV</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6768"/>
            <w:tcBorders>
              <w:top w:val="single" w:sz="6" w:color="D9D9E0"/>
              <w:left w:val="single" w:sz="6" w:color="D9D9E0"/>
              <w:bottom w:val="single" w:sz="6" w:color="D9D9E0"/>
              <w:right w:val="single" w:sz="6" w:color="D9D9E0"/>
            </w:tcBorders>
          </w:tcPr>
          <w:p>
            <w:pPr>
              <w:spacing w:before="50" w:after="50"/>
            </w:pPr>
            <w:r>
              <w:rPr>
                <w:sz w:val="18"/>
              </w:rPr>
              <w:t>21 September 2026</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Status</w:t>
            </w:r>
          </w:p>
        </w:tc>
        <w:tc>
          <w:tcPr>
            <w:tcW w:type="dxa" w:w="6768"/>
            <w:tcBorders>
              <w:top w:val="single" w:sz="6" w:color="D9D9E0"/>
              <w:left w:val="single" w:sz="6" w:color="D9D9E0"/>
              <w:bottom w:val="single" w:sz="6" w:color="D9D9E0"/>
              <w:right w:val="single" w:sz="6" w:color="D9D9E0"/>
            </w:tcBorders>
            <w:shd w:val="clear" w:fill="F4F4F7"/>
          </w:tcPr>
          <w:p>
            <w:pPr>
              <w:spacing w:before="50" w:after="50"/>
            </w:pPr>
            <w:r>
              <w:rPr>
                <w:sz w:val="18"/>
              </w:rPr>
              <w:t>Revised after the build. See Stage 5 revision log.</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Approved by</w:t>
            </w:r>
          </w:p>
        </w:tc>
        <w:tc>
          <w:tcPr>
            <w:tcW w:type="dxa" w:w="6768"/>
            <w:tcBorders>
              <w:top w:val="single" w:sz="6" w:color="D9D9E0"/>
              <w:left w:val="single" w:sz="6" w:color="D9D9E0"/>
              <w:bottom w:val="single" w:sz="6" w:color="D9D9E0"/>
              <w:right w:val="single" w:sz="6" w:color="D9D9E0"/>
            </w:tcBorders>
          </w:tcPr>
          <w:p>
            <w:pPr>
              <w:spacing w:before="50" w:after="50"/>
            </w:pPr>
            <w:r>
              <w:rPr>
                <w:sz w:val="18"/>
              </w:rPr>
              <w:t>Individual project — no second approver</w:t>
            </w:r>
          </w:p>
        </w:tc>
      </w:tr>
    </w:tbl>
    <w:p>
      <w:pPr>
        <w:spacing w:after="80"/>
      </w:pPr>
    </w:p>
    <w:p>
      <w:pPr>
        <w:spacing w:before="440" w:after="60"/>
        <w:pBdr>
          <w:bottom w:val="single" w:sz="8" w:space="6" w:color="E8660A"/>
        </w:pBdr>
      </w:pPr>
      <w:r>
        <w:rPr>
          <w:b/>
          <w:color w:val="E8660A"/>
          <w:sz w:val="34"/>
        </w:rPr>
        <w:t xml:space="preserve">2   </w:t>
      </w:r>
      <w:r>
        <w:rPr>
          <w:b/>
          <w:color w:val="1A1A2E"/>
          <w:sz w:val="34"/>
        </w:rPr>
        <w:t>The problem in one paragraph</w:t>
      </w:r>
    </w:p>
    <w:p>
      <w:pPr>
        <w:spacing w:after="140"/>
      </w:pPr>
      <w:r>
        <w:rPr>
          <w:i w:val="0"/>
          <w:sz w:val="21"/>
        </w:rPr>
        <w:t>Copy across the paragraph you wrote at the end of your discovery workbook. If you find yourself wanting to improve it as you copy, go back and improve it in the workbook first, so that the two do not drift apart.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Problem statement</w:t>
            </w:r>
          </w:p>
        </w:tc>
      </w:tr>
      <w:tr>
        <w:tc>
          <w:tcPr>
            <w:tcW w:type="dxa" w:w="9648"/>
            <w:tcBorders>
              <w:top w:val="single" w:sz="6" w:color="D9D9E0"/>
              <w:left w:val="single" w:sz="6" w:color="D9D9E0"/>
              <w:bottom w:val="single" w:sz="6" w:color="D9D9E0"/>
              <w:right w:val="single" w:sz="6" w:color="D9D9E0"/>
            </w:tcBorders>
          </w:tcPr>
          <w:p>
            <w:pPr>
              <w:spacing w:before="50" w:after="50"/>
            </w:pPr>
            <w:r>
              <w:rPr>
                <w:sz w:val="18"/>
              </w:rPr>
              <w:t>CloudServe's support team is not slow because its people are slow or because the answers are unknown. It is slow because the answers are hard to find, and because the tickets that reach a second person arrive with nothing attached.</w:t>
              <w:br/>
              <w:br/>
              <w:t>Seven in ten tickets (71.4%) are answerable from documentation that already exists and is already correct, but agents cannot find it: internal search matches article titles and customers do not use title vocabulary. 56.2% of tickets are escalated, and 49.1% of those escalations were answerable from that same documentation. Those avoidable escalations are 107 tickets in every 500 — 21.4% of volume consuming 36.8% of all agent hours. Meanwhile the queue is sorted by age to protect the response-time target, so the most urgent tickets wait longest (478 vs 391 minutes) and score the lowest satisfaction.</w:t>
              <w:br/>
              <w:br/>
              <w:t>The constraint is delivery and triage, not knowledge and not headcount.</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8"/>
              </w:rPr>
            </w:r>
          </w:p>
        </w:tc>
      </w:tr>
    </w:tbl>
    <w:p>
      <w:pPr>
        <w:spacing w:after="80"/>
      </w:pPr>
    </w:p>
    <w:p>
      <w:pPr>
        <w:spacing w:before="440" w:after="60"/>
        <w:pBdr>
          <w:bottom w:val="single" w:sz="8" w:space="6" w:color="E8660A"/>
        </w:pBdr>
      </w:pPr>
      <w:r>
        <w:rPr>
          <w:b/>
          <w:color w:val="E8660A"/>
          <w:sz w:val="34"/>
        </w:rPr>
        <w:t xml:space="preserve">3   </w:t>
      </w:r>
      <w:r>
        <w:rPr>
          <w:b/>
          <w:color w:val="1A1A2E"/>
          <w:sz w:val="34"/>
        </w:rPr>
        <w:t>Who this is for</w:t>
      </w:r>
    </w:p>
    <w:p>
      <w:pPr>
        <w:spacing w:after="140"/>
      </w:pPr>
      <w:r>
        <w:rPr>
          <w:i w:val="0"/>
          <w:sz w:val="21"/>
        </w:rPr>
        <w:t>Describe each group of users separately. A requirement that serves everybody usually serves nobody particularly well.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User group</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need from this system</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currently do instead</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know it worked for them</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t>Customers raising tickets</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A correct answer in seconds where one exists, or a fast handover to a person who already understands the problem. Honesty about which they are getting.</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Search the documentation themselves and find it about half the time, then wait hours for a reply saying the same thing (Ravi, interview 5).</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Time to first reply under 5 minutes for deflected tickets; zero wrong automated answers; every automated reply labelled as automated and carrying its source.</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Tier one support agents</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Fewer repetitive tickets; the ones they do get arriving already classified, with the relevant documentation attached.</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Keep a personal snippet file and copy from it, because searching the knowledge base is painful (Sofia, interview 2).</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Share of agent hours spent on tickets answerable from documentation falls from 36.8%.</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t>Tier two and specialist agents</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Escalations arriving with a summary, the sources, and an explicit statement of what the system was unsure about.</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Receive the raw forwarded ticket with no note, re-read the thread, and often re-ask the customer something already asked (Daniel, interview 3).</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100% of escalations carry a context package; agent handling time on escalated tickets falls.</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The head of support</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Movement on first contact resolution and response time without extra headcount, and an explainable system for the autumn compliance review.</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Reports a red number to the executive team and has run out of ways to explain it (Marcus, interview 1).</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FCR from 43.8% toward 60%; every automated decision reconstructable from the decision log.</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8"/>
              </w:rPr>
              <w:t>To know which questions the documentation fails to answer, from evidence rather than anecdote.</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Has twice asked for agents' private snippet files to be consolidated; has no visibility of what the corpus is missing.</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A prioritised documentation gap list produced automatically on every run.</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Functional requirements</w:t>
      </w:r>
    </w:p>
    <w:p>
      <w:pPr>
        <w:spacing w:after="140"/>
      </w:pPr>
      <w:r>
        <w:rPr>
          <w:i w:val="0"/>
          <w:sz w:val="21"/>
        </w:rPr>
        <w:t>Each requirement gets an identifier, a statement, a priority and a link back to the discovery evidence that produced it. The identifiers matter because your specifications, your prompts and your test cases will all refer to them.</w:t>
      </w:r>
    </w:p>
    <w:p>
      <w:pPr>
        <w:spacing w:after="140"/>
      </w:pPr>
      <w:r>
        <w:rPr>
          <w:i w:val="0"/>
          <w:sz w:val="21"/>
        </w:rPr>
        <w:t>Use the priority scale consistently. Must means the system is not acceptable without it. Should means it is expected but could be deferred with a stated consequence. Could means it would add value if time allows. Will not means it has been considered and deliberately excluded, and recording those is as useful as recording the rest.</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7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ID</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w:t>
            </w:r>
          </w:p>
        </w:tc>
        <w:tc>
          <w:tcPr>
            <w:tcW w:type="dxa" w:w="9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Priority</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Discovery evidence</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Acceptance criteria</w:t>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t>FR-01</w:t>
            </w:r>
          </w:p>
        </w:tc>
        <w:tc>
          <w:tcPr>
            <w:tcW w:type="dxa" w:w="3024"/>
            <w:tcBorders>
              <w:top w:val="single" w:sz="6" w:color="D9D9E0"/>
              <w:left w:val="single" w:sz="6" w:color="D9D9E0"/>
              <w:bottom w:val="single" w:sz="6" w:color="D9D9E0"/>
              <w:right w:val="single" w:sz="6" w:color="D9D9E0"/>
            </w:tcBorders>
          </w:tcPr>
          <w:p>
            <w:pPr>
              <w:spacing w:before="50" w:after="50"/>
            </w:pPr>
            <w:r>
              <w:rPr>
                <w:sz w:val="18"/>
              </w:rPr>
              <w:t>Accept tickets from email, live chat, documentation comments and the community forum and normalise them into one internal representation preserving original text and channel.</w:t>
            </w:r>
          </w:p>
        </w:tc>
        <w:tc>
          <w:tcPr>
            <w:tcW w:type="dxa" w:w="936"/>
            <w:tcBorders>
              <w:top w:val="single" w:sz="6" w:color="D9D9E0"/>
              <w:left w:val="single" w:sz="6" w:color="D9D9E0"/>
              <w:bottom w:val="single" w:sz="6" w:color="D9D9E0"/>
              <w:right w:val="single" w:sz="6" w:color="D9D9E0"/>
            </w:tcBorders>
          </w:tcPr>
          <w:p>
            <w:pPr>
              <w:spacing w:before="50" w:after="50"/>
            </w:pPr>
            <w:r>
              <w:rPr>
                <w:sz w:val="18"/>
              </w:rPr>
              <w:t>Must</w:t>
            </w:r>
          </w:p>
        </w:tc>
        <w:tc>
          <w:tcPr>
            <w:tcW w:type="dxa" w:w="1872"/>
            <w:tcBorders>
              <w:top w:val="single" w:sz="6" w:color="D9D9E0"/>
              <w:left w:val="single" w:sz="6" w:color="D9D9E0"/>
              <w:bottom w:val="single" w:sz="6" w:color="D9D9E0"/>
              <w:right w:val="single" w:sz="6" w:color="D9D9E0"/>
            </w:tcBorders>
          </w:tcPr>
          <w:p>
            <w:pPr>
              <w:spacing w:before="50" w:after="50"/>
            </w:pPr>
            <w:r>
              <w:rPr>
                <w:sz w:val="18"/>
              </w:rPr>
              <w:t>E-04 (four channels behave differently)</w:t>
            </w:r>
          </w:p>
        </w:tc>
        <w:tc>
          <w:tcPr>
            <w:tcW w:type="dxa" w:w="3024"/>
            <w:tcBorders>
              <w:top w:val="single" w:sz="6" w:color="D9D9E0"/>
              <w:left w:val="single" w:sz="6" w:color="D9D9E0"/>
              <w:bottom w:val="single" w:sz="6" w:color="D9D9E0"/>
              <w:right w:val="single" w:sz="6" w:color="D9D9E0"/>
            </w:tcBorders>
          </w:tcPr>
          <w:p>
            <w:pPr>
              <w:spacing w:before="50" w:after="50"/>
            </w:pPr>
            <w:r>
              <w:rPr>
                <w:sz w:val="18"/>
              </w:rPr>
              <w:t>A ticket from each channel is ingested without channel-specific breakage. tests: test_a2_*</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FR-02</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Assign intent and urgency to every ticket with a numeric confidence that reflects the actual probability of being correct, recording the alternatives considered.</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8"/>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8"/>
              </w:rPr>
              <w:t>E-05 (intent distribution; escalations driven by confidence not difficulty)</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Output carries class and confidence in [0,1]; expected calibration error &lt;= 0.05. tests: test_a3_*</w:t>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t>FR-03</w:t>
            </w:r>
          </w:p>
        </w:tc>
        <w:tc>
          <w:tcPr>
            <w:tcW w:type="dxa" w:w="3024"/>
            <w:tcBorders>
              <w:top w:val="single" w:sz="6" w:color="D9D9E0"/>
              <w:left w:val="single" w:sz="6" w:color="D9D9E0"/>
              <w:bottom w:val="single" w:sz="6" w:color="D9D9E0"/>
              <w:right w:val="single" w:sz="6" w:color="D9D9E0"/>
            </w:tcBorders>
          </w:tcPr>
          <w:p>
            <w:pPr>
              <w:spacing w:before="50" w:after="50"/>
            </w:pPr>
            <w:r>
              <w:rPr>
                <w:sz w:val="18"/>
              </w:rPr>
              <w:t>Search the documentation corpus and return ranked passages whose identifiers resolve to real articles.</w:t>
            </w:r>
          </w:p>
        </w:tc>
        <w:tc>
          <w:tcPr>
            <w:tcW w:type="dxa" w:w="936"/>
            <w:tcBorders>
              <w:top w:val="single" w:sz="6" w:color="D9D9E0"/>
              <w:left w:val="single" w:sz="6" w:color="D9D9E0"/>
              <w:bottom w:val="single" w:sz="6" w:color="D9D9E0"/>
              <w:right w:val="single" w:sz="6" w:color="D9D9E0"/>
            </w:tcBorders>
          </w:tcPr>
          <w:p>
            <w:pPr>
              <w:spacing w:before="50" w:after="50"/>
            </w:pPr>
            <w:r>
              <w:rPr>
                <w:sz w:val="18"/>
              </w:rPr>
              <w:t>Must</w:t>
            </w:r>
          </w:p>
        </w:tc>
        <w:tc>
          <w:tcPr>
            <w:tcW w:type="dxa" w:w="1872"/>
            <w:tcBorders>
              <w:top w:val="single" w:sz="6" w:color="D9D9E0"/>
              <w:left w:val="single" w:sz="6" w:color="D9D9E0"/>
              <w:bottom w:val="single" w:sz="6" w:color="D9D9E0"/>
              <w:right w:val="single" w:sz="6" w:color="D9D9E0"/>
            </w:tcBorders>
          </w:tcPr>
          <w:p>
            <w:pPr>
              <w:spacing w:before="50" w:after="50"/>
            </w:pPr>
            <w:r>
              <w:rPr>
                <w:sz w:val="18"/>
              </w:rPr>
              <w:t>E-01 (71.4% answerable; search is the failure)</w:t>
            </w:r>
          </w:p>
        </w:tc>
        <w:tc>
          <w:tcPr>
            <w:tcW w:type="dxa" w:w="3024"/>
            <w:tcBorders>
              <w:top w:val="single" w:sz="6" w:color="D9D9E0"/>
              <w:left w:val="single" w:sz="6" w:color="D9D9E0"/>
              <w:bottom w:val="single" w:sz="6" w:color="D9D9E0"/>
              <w:right w:val="single" w:sz="6" w:color="D9D9E0"/>
            </w:tcBorders>
          </w:tcPr>
          <w:p>
            <w:pPr>
              <w:spacing w:before="50" w:after="50"/>
            </w:pPr>
            <w:r>
              <w:rPr>
                <w:sz w:val="18"/>
              </w:rPr>
              <w:t>Returned chunk ids resolve to real passages; expected document ranked first &gt;= 85%. tests: test_a4_*</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FR-04</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Return no passages at all when nothing clears the relevance threshold.</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8"/>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8"/>
              </w:rPr>
              <w:t>E-02 (28.6% not answerable; Ines on feature requests and novel incidents)</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An irrelevant query returns an empty list. test_a4_threshold_returns_nothing_for_an_irrelevant_query</w:t>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t>FR-05</w:t>
            </w:r>
          </w:p>
        </w:tc>
        <w:tc>
          <w:tcPr>
            <w:tcW w:type="dxa" w:w="3024"/>
            <w:tcBorders>
              <w:top w:val="single" w:sz="6" w:color="D9D9E0"/>
              <w:left w:val="single" w:sz="6" w:color="D9D9E0"/>
              <w:bottom w:val="single" w:sz="6" w:color="D9D9E0"/>
              <w:right w:val="single" w:sz="6" w:color="D9D9E0"/>
            </w:tcBorders>
          </w:tcPr>
          <w:p>
            <w:pPr>
              <w:spacing w:before="50" w:after="50"/>
            </w:pPr>
            <w:r>
              <w:rPr>
                <w:sz w:val="18"/>
              </w:rPr>
              <w:t>Draft replies grounded only in the retrieved passages, stating plainly when the documentation is insufficient rather than filling the gap.</w:t>
            </w:r>
          </w:p>
        </w:tc>
        <w:tc>
          <w:tcPr>
            <w:tcW w:type="dxa" w:w="936"/>
            <w:tcBorders>
              <w:top w:val="single" w:sz="6" w:color="D9D9E0"/>
              <w:left w:val="single" w:sz="6" w:color="D9D9E0"/>
              <w:bottom w:val="single" w:sz="6" w:color="D9D9E0"/>
              <w:right w:val="single" w:sz="6" w:color="D9D9E0"/>
            </w:tcBorders>
          </w:tcPr>
          <w:p>
            <w:pPr>
              <w:spacing w:before="50" w:after="50"/>
            </w:pPr>
            <w:r>
              <w:rPr>
                <w:sz w:val="18"/>
              </w:rPr>
              <w:t>Must</w:t>
            </w:r>
          </w:p>
        </w:tc>
        <w:tc>
          <w:tcPr>
            <w:tcW w:type="dxa" w:w="1872"/>
            <w:tcBorders>
              <w:top w:val="single" w:sz="6" w:color="D9D9E0"/>
              <w:left w:val="single" w:sz="6" w:color="D9D9E0"/>
              <w:bottom w:val="single" w:sz="6" w:color="D9D9E0"/>
              <w:right w:val="single" w:sz="6" w:color="D9D9E0"/>
            </w:tcBorders>
          </w:tcPr>
          <w:p>
            <w:pPr>
              <w:spacing w:before="50" w:after="50"/>
            </w:pPr>
            <w:r>
              <w:rPr>
                <w:sz w:val="18"/>
              </w:rPr>
              <w:t>E-02, E-06 (Marcus: would rather it said nothing than said something wrong)</w:t>
            </w:r>
          </w:p>
        </w:tc>
        <w:tc>
          <w:tcPr>
            <w:tcW w:type="dxa" w:w="3024"/>
            <w:tcBorders>
              <w:top w:val="single" w:sz="6" w:color="D9D9E0"/>
              <w:left w:val="single" w:sz="6" w:color="D9D9E0"/>
              <w:bottom w:val="single" w:sz="6" w:color="D9D9E0"/>
              <w:right w:val="single" w:sz="6" w:color="D9D9E0"/>
            </w:tcBorders>
          </w:tcPr>
          <w:p>
            <w:pPr>
              <w:spacing w:before="50" w:after="50"/>
            </w:pPr>
            <w:r>
              <w:rPr>
                <w:sz w:val="18"/>
              </w:rPr>
              <w:t>Ungrounded drafts blocked; INSUFFICIENT_CONTEXT path exercised. test_a7_ungrounded_text_blocks</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FR-06</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Attach citations that resolve to the passages actually retrieved for that ticket.</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8"/>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8"/>
              </w:rPr>
              <w:t>E-06; Ines (needs to know which article an answer came from)</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Citation accuracy &gt;= 95% measured against retrieved passages. test_a6_*</w:t>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t>FR-07</w:t>
            </w:r>
          </w:p>
        </w:tc>
        <w:tc>
          <w:tcPr>
            <w:tcW w:type="dxa" w:w="3024"/>
            <w:tcBorders>
              <w:top w:val="single" w:sz="6" w:color="D9D9E0"/>
              <w:left w:val="single" w:sz="6" w:color="D9D9E0"/>
              <w:bottom w:val="single" w:sz="6" w:color="D9D9E0"/>
              <w:right w:val="single" w:sz="6" w:color="D9D9E0"/>
            </w:tcBorders>
          </w:tcPr>
          <w:p>
            <w:pPr>
              <w:spacing w:before="50" w:after="50"/>
            </w:pPr>
            <w:r>
              <w:rPr>
                <w:sz w:val="18"/>
              </w:rPr>
              <w:t>Decide between answering and escalating deterministically, using a policy derived from CloudServe's own routing labels, recording the reason in language a support manager reads.</w:t>
            </w:r>
          </w:p>
        </w:tc>
        <w:tc>
          <w:tcPr>
            <w:tcW w:type="dxa" w:w="936"/>
            <w:tcBorders>
              <w:top w:val="single" w:sz="6" w:color="D9D9E0"/>
              <w:left w:val="single" w:sz="6" w:color="D9D9E0"/>
              <w:bottom w:val="single" w:sz="6" w:color="D9D9E0"/>
              <w:right w:val="single" w:sz="6" w:color="D9D9E0"/>
            </w:tcBorders>
          </w:tcPr>
          <w:p>
            <w:pPr>
              <w:spacing w:before="50" w:after="50"/>
            </w:pPr>
            <w:r>
              <w:rPr>
                <w:sz w:val="18"/>
              </w:rPr>
              <w:t>Must</w:t>
            </w:r>
          </w:p>
        </w:tc>
        <w:tc>
          <w:tcPr>
            <w:tcW w:type="dxa" w:w="1872"/>
            <w:tcBorders>
              <w:top w:val="single" w:sz="6" w:color="D9D9E0"/>
              <w:left w:val="single" w:sz="6" w:color="D9D9E0"/>
              <w:bottom w:val="single" w:sz="6" w:color="D9D9E0"/>
              <w:right w:val="single" w:sz="6" w:color="D9D9E0"/>
            </w:tcBorders>
          </w:tcPr>
          <w:p>
            <w:pPr>
              <w:spacing w:before="50" w:after="50"/>
            </w:pPr>
            <w:r>
              <w:rPr>
                <w:sz w:val="18"/>
              </w:rPr>
              <w:t>E-07 (expected_route labels); Daniel on never-automate categories</w:t>
            </w:r>
          </w:p>
        </w:tc>
        <w:tc>
          <w:tcPr>
            <w:tcW w:type="dxa" w:w="3024"/>
            <w:tcBorders>
              <w:top w:val="single" w:sz="6" w:color="D9D9E0"/>
              <w:left w:val="single" w:sz="6" w:color="D9D9E0"/>
              <w:bottom w:val="single" w:sz="6" w:color="D9D9E0"/>
              <w:right w:val="single" w:sz="6" w:color="D9D9E0"/>
            </w:tcBorders>
          </w:tcPr>
          <w:p>
            <w:pPr>
              <w:spacing w:before="50" w:after="50"/>
            </w:pPr>
            <w:r>
              <w:rPr>
                <w:sz w:val="18"/>
              </w:rPr>
              <w:t>Same input yields same decision; policy reproduces expected_route. test_a5_*</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FR-08</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Attach to every escalation a drafted summary, the retrieved sources, the classification and an explicit statement of what the system was unsure about.</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8"/>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8"/>
              </w:rPr>
              <w:t>E-03 (Daniel: 'I do not need it to be right, I need it to show its working')</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100% of escalations carry a context package. metrics: escalations_with_context_package</w:t>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8"/>
              </w:rPr>
              <w:t>Validate every generated response before release and block — not warn — on private data, unsupported claims, commercial commitments or instruction leakage.</w:t>
            </w:r>
          </w:p>
        </w:tc>
        <w:tc>
          <w:tcPr>
            <w:tcW w:type="dxa" w:w="936"/>
            <w:tcBorders>
              <w:top w:val="single" w:sz="6" w:color="D9D9E0"/>
              <w:left w:val="single" w:sz="6" w:color="D9D9E0"/>
              <w:bottom w:val="single" w:sz="6" w:color="D9D9E0"/>
              <w:right w:val="single" w:sz="6" w:color="D9D9E0"/>
            </w:tcBorders>
          </w:tcPr>
          <w:p>
            <w:pPr>
              <w:spacing w:before="50" w:after="50"/>
            </w:pPr>
            <w:r>
              <w:rPr>
                <w:sz w:val="18"/>
              </w:rPr>
              <w:t>Must</w:t>
            </w:r>
          </w:p>
        </w:tc>
        <w:tc>
          <w:tcPr>
            <w:tcW w:type="dxa" w:w="1872"/>
            <w:tcBorders>
              <w:top w:val="single" w:sz="6" w:color="D9D9E0"/>
              <w:left w:val="single" w:sz="6" w:color="D9D9E0"/>
              <w:bottom w:val="single" w:sz="6" w:color="D9D9E0"/>
              <w:right w:val="single" w:sz="6" w:color="D9D9E0"/>
            </w:tcBorders>
          </w:tcPr>
          <w:p>
            <w:pPr>
              <w:spacing w:before="50" w:after="50"/>
            </w:pPr>
            <w:r>
              <w:rPr>
                <w:sz w:val="18"/>
              </w:rPr>
              <w:t>E-08; Daniel on billing becoming contractual</w:t>
            </w:r>
          </w:p>
        </w:tc>
        <w:tc>
          <w:tcPr>
            <w:tcW w:type="dxa" w:w="3024"/>
            <w:tcBorders>
              <w:top w:val="single" w:sz="6" w:color="D9D9E0"/>
              <w:left w:val="single" w:sz="6" w:color="D9D9E0"/>
              <w:bottom w:val="single" w:sz="6" w:color="D9D9E0"/>
              <w:right w:val="single" w:sz="6" w:color="D9D9E0"/>
            </w:tcBorders>
          </w:tcPr>
          <w:p>
            <w:pPr>
              <w:spacing w:before="50" w:after="50"/>
            </w:pPr>
            <w:r>
              <w:rPr>
                <w:sz w:val="18"/>
              </w:rPr>
              <w:t>Each guardrail demonstrably blocks. test_a7_*</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Never auto-answer the four never-automate intents at any confidence level.</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8"/>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8"/>
              </w:rPr>
              <w:t>E-09 (100% must_not_auto_respond on those intents)</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Zero violations across labelled tickets. metrics: safety.violations</w:t>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8"/>
              </w:rPr>
              <w:t>Write every automated decision to a persistent log carrying input, prediction, confidence, sources, action and reason.</w:t>
            </w:r>
          </w:p>
        </w:tc>
        <w:tc>
          <w:tcPr>
            <w:tcW w:type="dxa" w:w="936"/>
            <w:tcBorders>
              <w:top w:val="single" w:sz="6" w:color="D9D9E0"/>
              <w:left w:val="single" w:sz="6" w:color="D9D9E0"/>
              <w:bottom w:val="single" w:sz="6" w:color="D9D9E0"/>
              <w:right w:val="single" w:sz="6" w:color="D9D9E0"/>
            </w:tcBorders>
          </w:tcPr>
          <w:p>
            <w:pPr>
              <w:spacing w:before="50" w:after="50"/>
            </w:pPr>
            <w:r>
              <w:rPr>
                <w:sz w:val="18"/>
              </w:rPr>
              <w:t>Must</w:t>
            </w:r>
          </w:p>
        </w:tc>
        <w:tc>
          <w:tcPr>
            <w:tcW w:type="dxa" w:w="1872"/>
            <w:tcBorders>
              <w:top w:val="single" w:sz="6" w:color="D9D9E0"/>
              <w:left w:val="single" w:sz="6" w:color="D9D9E0"/>
              <w:bottom w:val="single" w:sz="6" w:color="D9D9E0"/>
              <w:right w:val="single" w:sz="6" w:color="D9D9E0"/>
            </w:tcBorders>
          </w:tcPr>
          <w:p>
            <w:pPr>
              <w:spacing w:before="50" w:after="50"/>
            </w:pPr>
            <w:r>
              <w:rPr>
                <w:sz w:val="18"/>
              </w:rPr>
              <w:t>E-10 (Marcus needs explainability for the compliance review)</w:t>
            </w:r>
          </w:p>
        </w:tc>
        <w:tc>
          <w:tcPr>
            <w:tcW w:type="dxa" w:w="3024"/>
            <w:tcBorders>
              <w:top w:val="single" w:sz="6" w:color="D9D9E0"/>
              <w:left w:val="single" w:sz="6" w:color="D9D9E0"/>
              <w:bottom w:val="single" w:sz="6" w:color="D9D9E0"/>
              <w:right w:val="single" w:sz="6" w:color="D9D9E0"/>
            </w:tcBorders>
          </w:tcPr>
          <w:p>
            <w:pPr>
              <w:spacing w:before="50" w:after="50"/>
            </w:pPr>
            <w:r>
              <w:rPr>
                <w:sz w:val="18"/>
              </w:rPr>
              <w:t>Logged decisions reconcile against tickets processed. test_a8_*</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Process a file of tickets end to end, unattended, from one command taking input and output paths as arguments.</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8"/>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8"/>
              </w:rPr>
              <w:t>E-11 (500+/week; hidden set not held)</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Full set processed with no intervention. test_a9_*</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Produce a metrics report at the end of a run without further manual work.</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8"/>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8"/>
              </w:rPr>
              <w:t>E-11</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metrics.json and metrics.md written. test_a10_*</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Produce a prioritised list of questions the documentation could not answer.</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8"/>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8"/>
              </w:rPr>
              <w:t>E-02</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documentation_gaps.json written and ordered by frequency.</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Compare outcomes across customer tier, region and language fluency, reporting sample sizes.</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8"/>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8"/>
              </w:rPr>
              <w:t>E-12 (Sofia on non-fluent customers)</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Fairness block present with per-group denominators. metrics: fairness</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Provide a means to stop automated replies without a code change, while continuing to classify, triage and log.</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8"/>
              </w:rPr>
              <w:t>Should</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8"/>
              </w:rPr>
              <w:t>E-09</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POST /admin/kill-switch; verified manually.</w:t>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Non-functional requirements</w:t>
      </w:r>
    </w:p>
    <w:p>
      <w:pPr>
        <w:spacing w:after="140"/>
      </w:pPr>
      <w:r>
        <w:rPr>
          <w:i w:val="0"/>
          <w:sz w:val="21"/>
        </w:rPr>
        <w:t>These describe how well the system must do the things it does. They are frequently what distinguishes a demonstration from something that could actually be deployed.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ID</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Category</w:t>
            </w:r>
          </w:p>
        </w:tc>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w:t>
            </w:r>
          </w:p>
        </w:tc>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it will be verified</w:t>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t>NFR-01</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Performance</w:t>
            </w:r>
          </w:p>
        </w:tc>
        <w:tc>
          <w:tcPr>
            <w:tcW w:type="dxa" w:w="3600"/>
            <w:tcBorders>
              <w:top w:val="single" w:sz="6" w:color="D9D9E0"/>
              <w:left w:val="single" w:sz="6" w:color="D9D9E0"/>
              <w:bottom w:val="single" w:sz="6" w:color="D9D9E0"/>
              <w:right w:val="single" w:sz="6" w:color="D9D9E0"/>
            </w:tcBorders>
          </w:tcPr>
          <w:p>
            <w:pPr>
              <w:spacing w:before="50" w:after="50"/>
            </w:pPr>
            <w:r>
              <w:rPr>
                <w:sz w:val="18"/>
              </w:rPr>
              <w:t>95th-percentile response latency under 3 seconds.</w:t>
            </w:r>
          </w:p>
        </w:tc>
        <w:tc>
          <w:tcPr>
            <w:tcW w:type="dxa" w:w="3600"/>
            <w:tcBorders>
              <w:top w:val="single" w:sz="6" w:color="D9D9E0"/>
              <w:left w:val="single" w:sz="6" w:color="D9D9E0"/>
              <w:bottom w:val="single" w:sz="6" w:color="D9D9E0"/>
              <w:right w:val="single" w:sz="6" w:color="D9D9E0"/>
            </w:tcBorders>
          </w:tcPr>
          <w:p>
            <w:pPr>
              <w:spacing w:before="50" w:after="50"/>
            </w:pPr>
            <w:r>
              <w:rPr>
                <w:sz w:val="18"/>
              </w:rPr>
              <w:t>metrics.technical.latency_seconds.p95. NOT MET in the first live run (26.0s); see report §7.</w:t>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NFR-02</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Accuracy</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8"/>
              </w:rPr>
              <w:t>Intent classification precision 85% or better.</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8"/>
              </w:rPr>
              <w:t>metrics.technical.intent_classification.macro_precision</w:t>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t>NFR-03</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Safety</w:t>
            </w:r>
          </w:p>
        </w:tc>
        <w:tc>
          <w:tcPr>
            <w:tcW w:type="dxa" w:w="3600"/>
            <w:tcBorders>
              <w:top w:val="single" w:sz="6" w:color="D9D9E0"/>
              <w:left w:val="single" w:sz="6" w:color="D9D9E0"/>
              <w:bottom w:val="single" w:sz="6" w:color="D9D9E0"/>
              <w:right w:val="single" w:sz="6" w:color="D9D9E0"/>
            </w:tcBorders>
          </w:tcPr>
          <w:p>
            <w:pPr>
              <w:spacing w:before="50" w:after="50"/>
            </w:pPr>
            <w:r>
              <w:rPr>
                <w:sz w:val="18"/>
              </w:rPr>
              <w:t>Hallucination rate 5% or lower — no claim unsupported by retrieved passages.</w:t>
            </w:r>
          </w:p>
        </w:tc>
        <w:tc>
          <w:tcPr>
            <w:tcW w:type="dxa" w:w="3600"/>
            <w:tcBorders>
              <w:top w:val="single" w:sz="6" w:color="D9D9E0"/>
              <w:left w:val="single" w:sz="6" w:color="D9D9E0"/>
              <w:bottom w:val="single" w:sz="6" w:color="D9D9E0"/>
              <w:right w:val="single" w:sz="6" w:color="D9D9E0"/>
            </w:tcBorders>
          </w:tcPr>
          <w:p>
            <w:pPr>
              <w:spacing w:before="50" w:after="50"/>
            </w:pPr>
            <w:r>
              <w:rPr>
                <w:sz w:val="18"/>
              </w:rPr>
              <w:t>Grounding guardrail blocks below threshold; metrics.technical.grounding</w:t>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NFR-04</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Accuracy</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8"/>
              </w:rPr>
              <w:t>Citation accuracy 95% or better.</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8"/>
              </w:rPr>
              <w:t>metrics.technical.citations</w:t>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t>NFR-05</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Resilience</w:t>
            </w:r>
          </w:p>
        </w:tc>
        <w:tc>
          <w:tcPr>
            <w:tcW w:type="dxa" w:w="3600"/>
            <w:tcBorders>
              <w:top w:val="single" w:sz="6" w:color="D9D9E0"/>
              <w:left w:val="single" w:sz="6" w:color="D9D9E0"/>
              <w:bottom w:val="single" w:sz="6" w:color="D9D9E0"/>
              <w:right w:val="single" w:sz="6" w:color="D9D9E0"/>
            </w:tcBorders>
          </w:tcPr>
          <w:p>
            <w:pPr>
              <w:spacing w:before="50" w:after="50"/>
            </w:pPr>
            <w:r>
              <w:rPr>
                <w:sz w:val="18"/>
              </w:rPr>
              <w:t>Continue operating when the model provider is unavailable, throttling or timing out; degrade rather than stop, and never auto-answer while degraded.</w:t>
            </w:r>
          </w:p>
        </w:tc>
        <w:tc>
          <w:tcPr>
            <w:tcW w:type="dxa" w:w="3600"/>
            <w:tcBorders>
              <w:top w:val="single" w:sz="6" w:color="D9D9E0"/>
              <w:left w:val="single" w:sz="6" w:color="D9D9E0"/>
              <w:bottom w:val="single" w:sz="6" w:color="D9D9E0"/>
              <w:right w:val="single" w:sz="6" w:color="D9D9E0"/>
            </w:tcBorders>
          </w:tcPr>
          <w:p>
            <w:pPr>
              <w:spacing w:before="50" w:after="50"/>
            </w:pPr>
            <w:r>
              <w:rPr>
                <w:sz w:val="18"/>
              </w:rPr>
              <w:t>Whole test suite runs with no API key. test_a11_*</w:t>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NFR-06</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Privacy</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8"/>
              </w:rPr>
              <w:t>Zero private data occurrences in outbound responses.</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8"/>
              </w:rPr>
              <w:t>metrics.governance.private_data_detections / released</w:t>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t>NFR-07</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Fairness</w:t>
            </w:r>
          </w:p>
        </w:tc>
        <w:tc>
          <w:tcPr>
            <w:tcW w:type="dxa" w:w="3600"/>
            <w:tcBorders>
              <w:top w:val="single" w:sz="6" w:color="D9D9E0"/>
              <w:left w:val="single" w:sz="6" w:color="D9D9E0"/>
              <w:bottom w:val="single" w:sz="6" w:color="D9D9E0"/>
              <w:right w:val="single" w:sz="6" w:color="D9D9E0"/>
            </w:tcBorders>
          </w:tcPr>
          <w:p>
            <w:pPr>
              <w:spacing w:before="50" w:after="50"/>
            </w:pPr>
            <w:r>
              <w:rPr>
                <w:sz w:val="18"/>
              </w:rPr>
              <w:t>Under five percentage points of outcome difference between customer groups.</w:t>
            </w:r>
          </w:p>
        </w:tc>
        <w:tc>
          <w:tcPr>
            <w:tcW w:type="dxa" w:w="3600"/>
            <w:tcBorders>
              <w:top w:val="single" w:sz="6" w:color="D9D9E0"/>
              <w:left w:val="single" w:sz="6" w:color="D9D9E0"/>
              <w:bottom w:val="single" w:sz="6" w:color="D9D9E0"/>
              <w:right w:val="single" w:sz="6" w:color="D9D9E0"/>
            </w:tcBorders>
          </w:tcPr>
          <w:p>
            <w:pPr>
              <w:spacing w:before="50" w:after="50"/>
            </w:pPr>
            <w:r>
              <w:rPr>
                <w:sz w:val="18"/>
              </w:rPr>
              <w:t>metrics.fairness.*.automation_rate_gap</w:t>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Calibration</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8"/>
              </w:rPr>
              <w:t>Stated confidence within five percentage points of observed accuracy.</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8"/>
              </w:rPr>
              <w:t>metrics.governance.confidence_calibration.expected_calibration_error</w:t>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8"/>
              </w:rPr>
              <w:t>Auditability</w:t>
            </w:r>
          </w:p>
        </w:tc>
        <w:tc>
          <w:tcPr>
            <w:tcW w:type="dxa" w:w="3600"/>
            <w:tcBorders>
              <w:top w:val="single" w:sz="6" w:color="D9D9E0"/>
              <w:left w:val="single" w:sz="6" w:color="D9D9E0"/>
              <w:bottom w:val="single" w:sz="6" w:color="D9D9E0"/>
              <w:right w:val="single" w:sz="6" w:color="D9D9E0"/>
            </w:tcBorders>
          </w:tcPr>
          <w:p>
            <w:pPr>
              <w:spacing w:before="50" w:after="50"/>
            </w:pPr>
            <w:r>
              <w:rPr>
                <w:sz w:val="18"/>
              </w:rPr>
              <w:t>Complete decision log coverage; every decision reconstructable.</w:t>
            </w:r>
          </w:p>
        </w:tc>
        <w:tc>
          <w:tcPr>
            <w:tcW w:type="dxa" w:w="3600"/>
            <w:tcBorders>
              <w:top w:val="single" w:sz="6" w:color="D9D9E0"/>
              <w:left w:val="single" w:sz="6" w:color="D9D9E0"/>
              <w:bottom w:val="single" w:sz="6" w:color="D9D9E0"/>
              <w:right w:val="single" w:sz="6" w:color="D9D9E0"/>
            </w:tcBorders>
          </w:tcPr>
          <w:p>
            <w:pPr>
              <w:spacing w:before="50" w:after="50"/>
            </w:pPr>
            <w:r>
              <w:rPr>
                <w:sz w:val="18"/>
              </w:rPr>
              <w:t>metrics.reconciliation.reconciles</w:t>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Portability</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8"/>
              </w:rPr>
              <w:t>Runs from a clean checkout on a machine that is not the author's, following the README alone.</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8"/>
              </w:rPr>
              <w:t>Clean-checkout rehearsal; scripts/verify_setup.py</w:t>
            </w:r>
          </w:p>
        </w:tc>
      </w:tr>
    </w:tbl>
    <w:p>
      <w:pPr>
        <w:spacing w:after="80"/>
      </w:pPr>
    </w:p>
    <w:p>
      <w:pPr>
        <w:spacing w:before="440" w:after="60"/>
        <w:pBdr>
          <w:bottom w:val="single" w:sz="8" w:space="6" w:color="E8660A"/>
        </w:pBdr>
      </w:pPr>
      <w:r>
        <w:rPr>
          <w:b/>
          <w:color w:val="E8660A"/>
          <w:sz w:val="34"/>
        </w:rPr>
        <w:t xml:space="preserve">6   </w:t>
      </w:r>
      <w:r>
        <w:rPr>
          <w:b/>
          <w:color w:val="1A1A2E"/>
          <w:sz w:val="34"/>
        </w:rPr>
        <w:t>What is deliberately out of scope</w:t>
      </w:r>
    </w:p>
    <w:p>
      <w:pPr>
        <w:spacing w:after="140"/>
      </w:pPr>
      <w:r>
        <w:rPr>
          <w:i w:val="0"/>
          <w:sz w:val="21"/>
        </w:rPr>
        <w:t>Recording what you are not building is one of the most valuable things a requirements document does, because it is the section that prevents an argument in week three.</w:t>
      </w:r>
    </w:p>
    <w:tbl>
      <w:tblPr>
        <w:tblW w:type="auto" w:w="0"/>
        <w:jc w:val="center"/>
        <w:tblLayout w:type="fixed"/>
        <w:tblLook w:firstColumn="1" w:firstRow="1" w:lastColumn="0" w:lastRow="0" w:noHBand="0" w:noVBand="1" w:val="04A0"/>
      </w:tblPr>
      <w:tblGrid>
        <w:gridCol w:w="3216"/>
        <w:gridCol w:w="3216"/>
        <w:gridCol w:w="3216"/>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Not building</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not</w:t>
            </w:r>
          </w:p>
        </w:tc>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would have to change for this to be reconsidered</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A customer-facing chat widget</w:t>
            </w:r>
          </w:p>
        </w:tc>
        <w:tc>
          <w:tcPr>
            <w:tcW w:type="dxa" w:w="3312"/>
            <w:tcBorders>
              <w:top w:val="single" w:sz="6" w:color="D9D9E0"/>
              <w:left w:val="single" w:sz="6" w:color="D9D9E0"/>
              <w:bottom w:val="single" w:sz="6" w:color="D9D9E0"/>
              <w:right w:val="single" w:sz="6" w:color="D9D9E0"/>
            </w:tcBorders>
          </w:tcPr>
          <w:p>
            <w:pPr>
              <w:spacing w:before="50" w:after="50"/>
            </w:pPr>
            <w:r>
              <w:rPr>
                <w:sz w:val="18"/>
              </w:rPr>
              <w:t>The four existing channels are the front end. The deliverable is the decision and delivery layer behind them.</w:t>
            </w:r>
          </w:p>
        </w:tc>
        <w:tc>
          <w:tcPr>
            <w:tcW w:type="dxa" w:w="3456"/>
            <w:tcBorders>
              <w:top w:val="single" w:sz="6" w:color="D9D9E0"/>
              <w:left w:val="single" w:sz="6" w:color="D9D9E0"/>
              <w:bottom w:val="single" w:sz="6" w:color="D9D9E0"/>
              <w:right w:val="single" w:sz="6" w:color="D9D9E0"/>
            </w:tcBorders>
          </w:tcPr>
          <w:p>
            <w:pPr>
              <w:spacing w:before="50" w:after="50"/>
            </w:pPr>
            <w:r>
              <w:rPr>
                <w:sz w:val="18"/>
              </w:rPr>
              <w:t>CloudServe deciding to replace their channel front ends, which is a separate project.</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Automated documentation writing</w:t>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8"/>
              </w:rPr>
              <w:t>The system identifies gaps; a human writes the articles. Generating documentation from tickets would compound errors into the corpus everything else grounds on.</w:t>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A reviewed human-in-the-loop authoring flow with Ines as approver.</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Learning from agents' private snippet files</w:t>
            </w:r>
          </w:p>
        </w:tc>
        <w:tc>
          <w:tcPr>
            <w:tcW w:type="dxa" w:w="3312"/>
            <w:tcBorders>
              <w:top w:val="single" w:sz="6" w:color="D9D9E0"/>
              <w:left w:val="single" w:sz="6" w:color="D9D9E0"/>
              <w:bottom w:val="single" w:sz="6" w:color="D9D9E0"/>
              <w:right w:val="single" w:sz="6" w:color="D9D9E0"/>
            </w:tcBorders>
          </w:tcPr>
          <w:p>
            <w:pPr>
              <w:spacing w:before="50" w:after="50"/>
            </w:pPr>
            <w:r>
              <w:rPr>
                <w:sz w:val="18"/>
              </w:rPr>
              <w:t>Daniel: they contain answers that were correct two years ago. Learning from them would scale up a mistake.</w:t>
            </w:r>
          </w:p>
        </w:tc>
        <w:tc>
          <w:tcPr>
            <w:tcW w:type="dxa" w:w="3456"/>
            <w:tcBorders>
              <w:top w:val="single" w:sz="6" w:color="D9D9E0"/>
              <w:left w:val="single" w:sz="6" w:color="D9D9E0"/>
              <w:bottom w:val="single" w:sz="6" w:color="D9D9E0"/>
              <w:right w:val="single" w:sz="6" w:color="D9D9E0"/>
            </w:tcBorders>
          </w:tcPr>
          <w:p>
            <w:pPr>
              <w:spacing w:before="50" w:after="50"/>
            </w:pPr>
            <w:r>
              <w:rPr>
                <w:sz w:val="18"/>
              </w:rPr>
              <w:t>Those files being consolidated and reviewed, which Ines has already requested twice.</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Multilingual response generation</w:t>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8"/>
              </w:rPr>
              <w:t>Detected as a fairness concern and measured, not solved. 24% of tickets are from non-fluent customers.</w:t>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Evidence that retrieval quality differs by language beyond the measured gap.</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Automated actions on customer accounts</w:t>
            </w:r>
          </w:p>
        </w:tc>
        <w:tc>
          <w:tcPr>
            <w:tcW w:type="dxa" w:w="3312"/>
            <w:tcBorders>
              <w:top w:val="single" w:sz="6" w:color="D9D9E0"/>
              <w:left w:val="single" w:sz="6" w:color="D9D9E0"/>
              <w:bottom w:val="single" w:sz="6" w:color="D9D9E0"/>
              <w:right w:val="single" w:sz="6" w:color="D9D9E0"/>
            </w:tcBorders>
          </w:tcPr>
          <w:p>
            <w:pPr>
              <w:spacing w:before="50" w:after="50"/>
            </w:pPr>
            <w:r>
              <w:rPr>
                <w:sz w:val="18"/>
              </w:rPr>
              <w:t>The system answers questions. It does not refund, provision, reset or cancel. Every such category is in the never-automate list.</w:t>
            </w:r>
          </w:p>
        </w:tc>
        <w:tc>
          <w:tcPr>
            <w:tcW w:type="dxa" w:w="3456"/>
            <w:tcBorders>
              <w:top w:val="single" w:sz="6" w:color="D9D9E0"/>
              <w:left w:val="single" w:sz="6" w:color="D9D9E0"/>
              <w:bottom w:val="single" w:sz="6" w:color="D9D9E0"/>
              <w:right w:val="single" w:sz="6" w:color="D9D9E0"/>
            </w:tcBorders>
          </w:tcPr>
          <w:p>
            <w:pPr>
              <w:spacing w:before="50" w:after="50"/>
            </w:pPr>
            <w:r>
              <w:rPr>
                <w:sz w:val="18"/>
              </w:rPr>
              <w:t>A separate authorisation model and an audit trail for actions, not just for answers.</w:t>
            </w:r>
          </w:p>
        </w:tc>
      </w:tr>
    </w:tbl>
    <w:p>
      <w:pPr>
        <w:spacing w:after="80"/>
      </w:pPr>
    </w:p>
    <w:p>
      <w:r>
        <w:br w:type="page"/>
      </w:r>
    </w:p>
    <w:p>
      <w:pPr>
        <w:spacing w:before="440" w:after="60"/>
        <w:pBdr>
          <w:bottom w:val="single" w:sz="8" w:space="6" w:color="E8660A"/>
        </w:pBdr>
      </w:pPr>
      <w:r>
        <w:rPr>
          <w:b/>
          <w:color w:val="E8660A"/>
          <w:sz w:val="34"/>
        </w:rPr>
        <w:t xml:space="preserve">7   </w:t>
      </w:r>
      <w:r>
        <w:rPr>
          <w:b/>
          <w:color w:val="1A1A2E"/>
          <w:sz w:val="34"/>
        </w:rPr>
        <w:t>Assumptions and their consequences</w:t>
      </w:r>
    </w:p>
    <w:p>
      <w:pPr>
        <w:spacing w:after="140"/>
      </w:pPr>
      <w:r>
        <w:rPr>
          <w:i w:val="0"/>
          <w:sz w:val="21"/>
        </w:rPr>
        <w:t>Every assumption you are making is a place where this document could turn out to be wrong. Listing them now is what makes the revision in stage five a considered update rather than a scramble.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Assumption</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believe it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happens if it is false</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find out</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8"/>
              </w:rPr>
              <w:t>A wrong automated answer costs roughly 8x an unnecessary escalation.</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Marcus: an escalated ticket costs about four times a resolved one and angers the customer more than waiting. A wrong answer adds a complaint on top of the original ticket.</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The routing threshold is wrong. The sensitivity table in scripts/tune_answerability.py shows how it moves for ratios from 2:1 to 20:1.</w:t>
            </w:r>
          </w:p>
        </w:tc>
        <w:tc>
          <w:tcPr>
            <w:tcW w:type="dxa" w:w="2160"/>
            <w:tcBorders>
              <w:top w:val="single" w:sz="6" w:color="D9D9E0"/>
              <w:left w:val="single" w:sz="6" w:color="D9D9E0"/>
              <w:bottom w:val="single" w:sz="6" w:color="D9D9E0"/>
              <w:right w:val="single" w:sz="6" w:color="D9D9E0"/>
            </w:tcBorders>
          </w:tcPr>
          <w:p>
            <w:pPr>
              <w:spacing w:before="50" w:after="50"/>
            </w:pPr>
            <w:r>
              <w:rPr>
                <w:sz w:val="18"/>
              </w:rPr>
              <w:t>Ask the head of support what handling a complaint actually costs.</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A substantial share of tickets are answerable from existing documentation.</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Sofia's 'seven out of ten'; confirmed at 71.4% in the labels.</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The deflection premise fails and the system becomes triage-only — still valuable, different business case.</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8"/>
              </w:rPr>
              <w:t>Measured directly; held.</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8"/>
              </w:rPr>
              <w:t>The documentation corpus is broadly accurate.</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Ines reviews the 29 articles on a rotation.</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Grounded answers propagate documented errors WITH a citation attached, which is worse than an ungrounded guess because it carries authority.</w:t>
            </w:r>
          </w:p>
        </w:tc>
        <w:tc>
          <w:tcPr>
            <w:tcW w:type="dxa" w:w="2160"/>
            <w:tcBorders>
              <w:top w:val="single" w:sz="6" w:color="D9D9E0"/>
              <w:left w:val="single" w:sz="6" w:color="D9D9E0"/>
              <w:bottom w:val="single" w:sz="6" w:color="D9D9E0"/>
              <w:right w:val="single" w:sz="6" w:color="D9D9E0"/>
            </w:tcBorders>
          </w:tcPr>
          <w:p>
            <w:pPr>
              <w:spacing w:before="50" w:after="50"/>
            </w:pPr>
            <w:r>
              <w:rPr>
                <w:sz w:val="18"/>
              </w:rPr>
              <w:t>Sample audit of sent answers against reality. Not yet done.</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Confidence calibrated on development data holds on unseen tickets.</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Standard practice; the development and validation sets come from the same population.</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Thresholds drift and the system over-answers or over-escalates.</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8"/>
              </w:rPr>
              <w:t>ECE recomputed and reported on every run.</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8"/>
              </w:rPr>
              <w:t>The hidden set uses the same schema as the development set.</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Stated in the pack.</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Ingest fails. Mitigated by tolerant field mapping and a loader accepting several file shapes.</w:t>
            </w:r>
          </w:p>
        </w:tc>
        <w:tc>
          <w:tcPr>
            <w:tcW w:type="dxa" w:w="2160"/>
            <w:tcBorders>
              <w:top w:val="single" w:sz="6" w:color="D9D9E0"/>
              <w:left w:val="single" w:sz="6" w:color="D9D9E0"/>
              <w:bottom w:val="single" w:sz="6" w:color="D9D9E0"/>
              <w:right w:val="single" w:sz="6" w:color="D9D9E0"/>
            </w:tcBorders>
          </w:tcPr>
          <w:p>
            <w:pPr>
              <w:spacing w:before="50" w:after="50"/>
            </w:pPr>
            <w:r>
              <w:rPr>
                <w:sz w:val="18"/>
              </w:rPr>
              <w:t>Visible in the first lines of run.log: tickets either load or they do not.</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Free-tier model capacity suffices for a full run.</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Stated in the build specification.</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FAILED. Both named providers retired the free Llama models mid-project. See Stage 5.</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8"/>
              </w:rPr>
              <w:t>Already found out; resolved by moving to openai/gpt-oss-120b.</w:t>
            </w:r>
          </w:p>
        </w:tc>
      </w:tr>
    </w:tbl>
    <w:p>
      <w:pPr>
        <w:spacing w:after="80"/>
      </w:pPr>
    </w:p>
    <w:p>
      <w:pPr>
        <w:spacing w:before="440" w:after="60"/>
        <w:pBdr>
          <w:bottom w:val="single" w:sz="8" w:space="6" w:color="E8660A"/>
        </w:pBdr>
      </w:pPr>
      <w:r>
        <w:rPr>
          <w:b/>
          <w:color w:val="E8660A"/>
          <w:sz w:val="34"/>
        </w:rPr>
        <w:t xml:space="preserve">8   </w:t>
      </w:r>
      <w:r>
        <w:rPr>
          <w:b/>
          <w:color w:val="1A1A2E"/>
          <w:sz w:val="34"/>
        </w:rPr>
        <w:t>Success measures</w:t>
      </w:r>
    </w:p>
    <w:p>
      <w:pPr>
        <w:spacing w:after="140"/>
      </w:pPr>
      <w:r>
        <w:rPr>
          <w:i w:val="0"/>
          <w:sz w:val="21"/>
        </w:rPr>
        <w:t>State the measures this system will be judged on, with the baseline and the target for each, and say who is accountable for reporting them.</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Baseline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Target</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Measured how</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Reported by</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First contact resolution</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43.8% (measured from history; brief states 42%)</w:t>
            </w:r>
          </w:p>
        </w:tc>
        <w:tc>
          <w:tcPr>
            <w:tcW w:type="dxa" w:w="1296"/>
            <w:tcBorders>
              <w:top w:val="single" w:sz="6" w:color="D9D9E0"/>
              <w:left w:val="single" w:sz="6" w:color="D9D9E0"/>
              <w:bottom w:val="single" w:sz="6" w:color="D9D9E0"/>
              <w:right w:val="single" w:sz="6" w:color="D9D9E0"/>
            </w:tcBorders>
          </w:tcPr>
          <w:p>
            <w:pPr>
              <w:spacing w:before="50" w:after="50"/>
            </w:pPr>
            <w:r>
              <w:rPr>
                <w:sz w:val="18"/>
              </w:rPr>
              <w:t>60%</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Tickets closed without escalation / total. metrics.business.first_contact_resolution</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Head of support, weekly</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Time to first reply</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7.0 h mean resolution (brief states 8-12 h)</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8"/>
              </w:rPr>
              <w:t>under 5 minutes</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Mean processing latency. NOTE: this is system latency, not CloudServe's end-to-end first reply, because escalations still queue.</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Head of support, weekly</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Customer satisfaction</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2.97 / 5 (brief states 3.2)</w:t>
            </w:r>
          </w:p>
        </w:tc>
        <w:tc>
          <w:tcPr>
            <w:tcW w:type="dxa" w:w="1296"/>
            <w:tcBorders>
              <w:top w:val="single" w:sz="6" w:color="D9D9E0"/>
              <w:left w:val="single" w:sz="6" w:color="D9D9E0"/>
              <w:bottom w:val="single" w:sz="6" w:color="D9D9E0"/>
              <w:right w:val="single" w:sz="6" w:color="D9D9E0"/>
            </w:tcBorders>
          </w:tcPr>
          <w:p>
            <w:pPr>
              <w:spacing w:before="50" w:after="50"/>
            </w:pPr>
            <w:r>
              <w:rPr>
                <w:sz w:val="18"/>
              </w:rPr>
              <w:t>4.0</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Not measurable by this evaluation. Reported as unverified.</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Head of support, monthly</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Escalation rate</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56.2% (brief states 58%)</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8"/>
              </w:rPr>
              <w:t>30%</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Tickets passed to a human / total. metrics.business.escalation_rate</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Head of support, weekly</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8"/>
              </w:rPr>
              <w:t>21.6% overall; 38.4% of escalated tickets</w:t>
            </w:r>
          </w:p>
        </w:tc>
        <w:tc>
          <w:tcPr>
            <w:tcW w:type="dxa" w:w="1296"/>
            <w:tcBorders>
              <w:top w:val="single" w:sz="6" w:color="D9D9E0"/>
              <w:left w:val="single" w:sz="6" w:color="D9D9E0"/>
              <w:bottom w:val="single" w:sz="6" w:color="D9D9E0"/>
              <w:right w:val="single" w:sz="6" w:color="D9D9E0"/>
            </w:tcBorders>
          </w:tcPr>
          <w:p>
            <w:pPr>
              <w:spacing w:before="50" w:after="50"/>
            </w:pPr>
            <w:r>
              <w:rPr>
                <w:sz w:val="18"/>
              </w:rPr>
              <w:t>Halved</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history.repeat_contact. Currently watched by nobody.</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Head of support, weekly</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36.8%</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8"/>
              </w:rPr>
              <w:t>Substantially reduced</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Escalated AND answerable AND not never-automate, weighted by resolution minutes. This measure does not exist today.</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Head of support, weekly</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8"/>
              </w:rPr>
              <w:t>Not measured</w:t>
            </w:r>
          </w:p>
        </w:tc>
        <w:tc>
          <w:tcPr>
            <w:tcW w:type="dxa" w:w="1296"/>
            <w:tcBorders>
              <w:top w:val="single" w:sz="6" w:color="D9D9E0"/>
              <w:left w:val="single" w:sz="6" w:color="D9D9E0"/>
              <w:bottom w:val="single" w:sz="6" w:color="D9D9E0"/>
              <w:right w:val="single" w:sz="6" w:color="D9D9E0"/>
            </w:tcBorders>
          </w:tcPr>
          <w:p>
            <w:pPr>
              <w:spacing w:before="50" w:after="50"/>
            </w:pPr>
            <w:r>
              <w:rPr>
                <w:sz w:val="18"/>
              </w:rPr>
              <w:t>Falling quarter on quarter</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documentation_gaps.json, produced every run.</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Technical writer, monthly</w:t>
            </w:r>
          </w:p>
        </w:tc>
      </w:tr>
    </w:tbl>
    <w:p>
      <w:pPr>
        <w:spacing w:after="80"/>
      </w:pPr>
    </w:p>
    <w:p>
      <w:pPr>
        <w:spacing w:before="440" w:after="60"/>
        <w:pBdr>
          <w:bottom w:val="single" w:sz="8" w:space="6" w:color="E8660A"/>
        </w:pBdr>
      </w:pPr>
      <w:r>
        <w:rPr>
          <w:b/>
          <w:color w:val="E8660A"/>
          <w:sz w:val="34"/>
        </w:rPr>
        <w:t xml:space="preserve">9   </w:t>
      </w:r>
      <w:r>
        <w:rPr>
          <w:b/>
          <w:color w:val="1A1A2E"/>
          <w:sz w:val="34"/>
        </w:rPr>
        <w:t>Open questions</w:t>
      </w:r>
    </w:p>
    <w:p>
      <w:pPr>
        <w:spacing w:after="140"/>
      </w:pPr>
      <w:r>
        <w:rPr>
          <w:i w:val="0"/>
          <w:sz w:val="21"/>
        </w:rPr>
        <w:t>The things you do not yet know. Each one needs an owner and a date by which it will be resolved, otherwise it will still be open in week three.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it matters</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Owner</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Resolve by</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8"/>
              </w:rPr>
              <w:t>What does a wrong automated answer actually cost CloudServe?</w:t>
            </w:r>
          </w:p>
        </w:tc>
        <w:tc>
          <w:tcPr>
            <w:tcW w:type="dxa" w:w="3168"/>
            <w:tcBorders>
              <w:top w:val="single" w:sz="6" w:color="D9D9E0"/>
              <w:left w:val="single" w:sz="6" w:color="D9D9E0"/>
              <w:bottom w:val="single" w:sz="6" w:color="D9D9E0"/>
              <w:right w:val="single" w:sz="6" w:color="D9D9E0"/>
            </w:tcBorders>
          </w:tcPr>
          <w:p>
            <w:pPr>
              <w:spacing w:before="50" w:after="50"/>
            </w:pPr>
            <w:r>
              <w:rPr>
                <w:sz w:val="18"/>
              </w:rPr>
              <w:t>It sets the routing threshold. Currently a stated assumption of 8:1, not a measurement.</w:t>
            </w:r>
          </w:p>
        </w:tc>
        <w:tc>
          <w:tcPr>
            <w:tcW w:type="dxa" w:w="1584"/>
            <w:tcBorders>
              <w:top w:val="single" w:sz="6" w:color="D9D9E0"/>
              <w:left w:val="single" w:sz="6" w:color="D9D9E0"/>
              <w:bottom w:val="single" w:sz="6" w:color="D9D9E0"/>
              <w:right w:val="single" w:sz="6" w:color="D9D9E0"/>
            </w:tcBorders>
          </w:tcPr>
          <w:p>
            <w:pPr>
              <w:spacing w:before="50" w:after="50"/>
            </w:pPr>
            <w:r>
              <w:rPr>
                <w:sz w:val="18"/>
              </w:rPr>
              <w:t>Head of support</w:t>
            </w:r>
          </w:p>
        </w:tc>
        <w:tc>
          <w:tcPr>
            <w:tcW w:type="dxa" w:w="1584"/>
            <w:tcBorders>
              <w:top w:val="single" w:sz="6" w:color="D9D9E0"/>
              <w:left w:val="single" w:sz="6" w:color="D9D9E0"/>
              <w:bottom w:val="single" w:sz="6" w:color="D9D9E0"/>
              <w:right w:val="single" w:sz="6" w:color="D9D9E0"/>
            </w:tcBorders>
          </w:tcPr>
          <w:p>
            <w:pPr>
              <w:spacing w:before="50" w:after="50"/>
            </w:pPr>
            <w:r>
              <w:rPr>
                <w:sz w:val="18"/>
              </w:rPr>
              <w:t>Before any production rollout</w:t>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8"/>
              </w:rPr>
              <w:t>Who is accountable when an automated answer is wrong?</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t>Sofia already picks up follow-ups for replies she did not write. No process exists.</w:t>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8"/>
              </w:rPr>
              <w:t>Head of support</w:t>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8"/>
              </w:rPr>
              <w:t>Before any production rollout</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8"/>
              </w:rPr>
              <w:t>Are agents' private snippet files safe to retire?</w:t>
            </w:r>
          </w:p>
        </w:tc>
        <w:tc>
          <w:tcPr>
            <w:tcW w:type="dxa" w:w="3168"/>
            <w:tcBorders>
              <w:top w:val="single" w:sz="6" w:color="D9D9E0"/>
              <w:left w:val="single" w:sz="6" w:color="D9D9E0"/>
              <w:bottom w:val="single" w:sz="6" w:color="D9D9E0"/>
              <w:right w:val="single" w:sz="6" w:color="D9D9E0"/>
            </w:tcBorders>
          </w:tcPr>
          <w:p>
            <w:pPr>
              <w:spacing w:before="50" w:after="50"/>
            </w:pPr>
            <w:r>
              <w:rPr>
                <w:sz w:val="18"/>
              </w:rPr>
              <w:t>They contain knowledge not in the corpus, some of it stale. Retiring them without consolidation loses the good with the bad.</w:t>
            </w:r>
          </w:p>
        </w:tc>
        <w:tc>
          <w:tcPr>
            <w:tcW w:type="dxa" w:w="1584"/>
            <w:tcBorders>
              <w:top w:val="single" w:sz="6" w:color="D9D9E0"/>
              <w:left w:val="single" w:sz="6" w:color="D9D9E0"/>
              <w:bottom w:val="single" w:sz="6" w:color="D9D9E0"/>
              <w:right w:val="single" w:sz="6" w:color="D9D9E0"/>
            </w:tcBorders>
          </w:tcPr>
          <w:p>
            <w:pPr>
              <w:spacing w:before="50" w:after="50"/>
            </w:pPr>
            <w:r>
              <w:rPr>
                <w:sz w:val="18"/>
              </w:rPr>
              <w:t>Technical writer</w:t>
            </w:r>
          </w:p>
        </w:tc>
        <w:tc>
          <w:tcPr>
            <w:tcW w:type="dxa" w:w="1584"/>
            <w:tcBorders>
              <w:top w:val="single" w:sz="6" w:color="D9D9E0"/>
              <w:left w:val="single" w:sz="6" w:color="D9D9E0"/>
              <w:bottom w:val="single" w:sz="6" w:color="D9D9E0"/>
              <w:right w:val="single" w:sz="6" w:color="D9D9E0"/>
            </w:tcBorders>
          </w:tcPr>
          <w:p>
            <w:pPr>
              <w:spacing w:before="50" w:after="50"/>
            </w:pPr>
            <w:r>
              <w:rPr>
                <w:sz w:val="18"/>
              </w:rPr>
              <w:t>Next quarter</w:t>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8"/>
              </w:rPr>
              <w:t>Does answer quality differ by customer group, as opposed to automation rate?</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t>The fairness audit measures outcomes, not per-group correctness. Equal automation rates are consistent with unequal answer quality.</w:t>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8"/>
              </w:rPr>
              <w:t>Engineering owner</w:t>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8"/>
              </w:rPr>
              <w:t>Next evaluation cycle</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8"/>
              </w:rPr>
              <w:t>What is the true end-to-end time to first reply after deployment?</w:t>
            </w:r>
          </w:p>
        </w:tc>
        <w:tc>
          <w:tcPr>
            <w:tcW w:type="dxa" w:w="3168"/>
            <w:tcBorders>
              <w:top w:val="single" w:sz="6" w:color="D9D9E0"/>
              <w:left w:val="single" w:sz="6" w:color="D9D9E0"/>
              <w:bottom w:val="single" w:sz="6" w:color="D9D9E0"/>
              <w:right w:val="single" w:sz="6" w:color="D9D9E0"/>
            </w:tcBorders>
          </w:tcPr>
          <w:p>
            <w:pPr>
              <w:spacing w:before="50" w:after="50"/>
            </w:pPr>
            <w:r>
              <w:rPr>
                <w:sz w:val="18"/>
              </w:rPr>
              <w:t>The headline business measure. Cannot be computed without agent handling times before and after.</w:t>
            </w:r>
          </w:p>
        </w:tc>
        <w:tc>
          <w:tcPr>
            <w:tcW w:type="dxa" w:w="1584"/>
            <w:tcBorders>
              <w:top w:val="single" w:sz="6" w:color="D9D9E0"/>
              <w:left w:val="single" w:sz="6" w:color="D9D9E0"/>
              <w:bottom w:val="single" w:sz="6" w:color="D9D9E0"/>
              <w:right w:val="single" w:sz="6" w:color="D9D9E0"/>
            </w:tcBorders>
          </w:tcPr>
          <w:p>
            <w:pPr>
              <w:spacing w:before="50" w:after="50"/>
            </w:pPr>
            <w:r>
              <w:rPr>
                <w:sz w:val="18"/>
              </w:rPr>
              <w:t>Head of support</w:t>
            </w:r>
          </w:p>
        </w:tc>
        <w:tc>
          <w:tcPr>
            <w:tcW w:type="dxa" w:w="1584"/>
            <w:tcBorders>
              <w:top w:val="single" w:sz="6" w:color="D9D9E0"/>
              <w:left w:val="single" w:sz="6" w:color="D9D9E0"/>
              <w:bottom w:val="single" w:sz="6" w:color="D9D9E0"/>
              <w:right w:val="single" w:sz="6" w:color="D9D9E0"/>
            </w:tcBorders>
          </w:tcPr>
          <w:p>
            <w:pPr>
              <w:spacing w:before="50" w:after="50"/>
            </w:pPr>
            <w:r>
              <w:rPr>
                <w:sz w:val="18"/>
              </w:rPr>
              <w:t>Post-deployment</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review before you move on</w:t>
            </w:r>
          </w:p>
          <w:p>
            <w:pPr>
              <w:spacing w:after="160"/>
            </w:pPr>
            <w:r>
              <w:rPr>
                <w:color w:val="333344"/>
                <w:sz w:val="20"/>
              </w:rPr>
              <w:t>Read your finished PRD and ask, for each requirement in turn, whether an engineer who had not attended any of your interviews could build it from what is written. Where the answer is no, the requirement is not finished. This check takes twenty minutes and it is the single highest-value thing you can do at the end of week one.</w:t>
            </w:r>
          </w:p>
        </w:tc>
      </w:tr>
    </w:tbl>
    <w:p>
      <w:pPr>
        <w:spacing w:after="4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Two  ·  Product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