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Defense Blueprint for 2-Party VFL</w:t>
        <w:br/>
      </w:r>
      <w:r>
        <w:rPr>
          <w:color w:val="464646"/>
          <w:sz w:val="24"/>
        </w:rPr>
        <w:t>Reference-guided attacker attribution, safe fallback, and representation repair</w:t>
      </w:r>
    </w:p>
    <w:p>
      <w:pPr>
        <w:pStyle w:val="Subtitle"/>
        <w:jc w:val="center"/>
      </w:pPr>
      <w:r>
        <w:t>Prepared from your current “clean reference set + multi-round majority voting + mitigation/repair” idea and refined into a concrete technical design.</w:t>
      </w:r>
    </w:p>
    <w:tbl>
      <w:tblPr>
        <w:tblW w:type="auto" w:w="0"/>
        <w:jc w:val="center"/>
        <w:tblLayout w:type="fixed"/>
        <w:tblLook w:firstColumn="1" w:firstRow="1" w:lastColumn="0" w:lastRow="0" w:noHBand="0" w:noVBand="1" w:val="04A0"/>
      </w:tblPr>
      <w:tblGrid>
        <w:gridCol w:w="9071"/>
      </w:tblGrid>
      <w:tr>
        <w:tc>
          <w:tcPr>
            <w:tcW w:type="dxa" w:w="9746"/>
            <w:shd w:fill="EEF4FB"/>
            <w:tcMar>
              <w:top w:w="110" w:type="dxa"/>
              <w:start w:w="120" w:type="dxa"/>
              <w:bottom w:w="110" w:type="dxa"/>
              <w:end w:w="120" w:type="dxa"/>
            </w:tcMar>
            <w:vAlign w:val="center"/>
          </w:tcPr>
          <w:p>
            <w:pPr/>
            <w:r>
              <w:rPr>
                <w:b/>
              </w:rPr>
              <w:t xml:space="preserve">Core idea. </w:t>
            </w:r>
            <w:r>
              <w:t xml:space="preserve">Use a small clean server-held reference set to score every party independently, detect suspicious cross-view inconsistency, delay final blame assignment for a short observation window, then identify the likely attacker via aggregated evidence across rounds. After attribution, avoid model collapse by switching from pure detection to mitigation: either </w:t>
            </w:r>
            <w:r>
              <w:rPr>
                <w:b/>
              </w:rPr>
              <w:t>trust-weighted fallback to the honest path</w:t>
            </w:r>
            <w:r>
              <w:t xml:space="preserve"> or </w:t>
            </w:r>
            <w:r>
              <w:rPr>
                <w:b/>
              </w:rPr>
              <w:t>reconstruction of the corrupted view</w:t>
            </w:r>
            <w:r>
              <w:t>. This is much more suitable for 2-party VFL than one-shot anomaly filtering.</w:t>
            </w:r>
          </w:p>
        </w:tc>
      </w:tr>
    </w:tbl>
    <w:p/>
    <w:p>
      <w:pPr>
        <w:pStyle w:val="Heading1"/>
      </w:pPr>
      <w:r>
        <w:t>1. Why this defense must be different in 2-party VFL</w:t>
      </w:r>
    </w:p>
    <w:p>
      <w:r>
        <w:t>In a 2-party system, one malicious client controls half of the fused representation. That means ordinary anomaly detection is not enough: even if a mismatch is detected, simply flagging the sample or dropping updates often hurts clean learning almost as much as the attack. The defense therefore needs four capabilities at once: (i) detect suspicious pairings, (ii) attribute suspicion to one party rather than only to the pair, (iii) prevent the classifier from depending on the corrupted half, and (iv) optionally reconstruct the missing or corrupted representation so training can continue.</w:t>
      </w:r>
    </w:p>
    <w:p>
      <w:pPr>
        <w:pStyle w:val="Heading1"/>
      </w:pPr>
      <w:r>
        <w:t>2. Assumptions and design goals</w:t>
      </w:r>
    </w:p>
    <w:p>
      <w:pPr>
        <w:pStyle w:val="Heading2"/>
      </w:pPr>
      <w:r>
        <w:t>2.1 Assumptions</w:t>
      </w:r>
    </w:p>
    <w:p>
      <w:pPr/>
      <w:r>
        <w:t>The active party/server owns labels and keeps a small clean reference set with persistent sample IDs.</w:t>
      </w:r>
    </w:p>
    <w:p>
      <w:pPr/>
      <w:r>
        <w:t>For the reference set, the server stores embeddings from both parties, class labels, and optionally gradients or logits from an early clean phase.</w:t>
      </w:r>
    </w:p>
    <w:p>
      <w:pPr/>
      <w:r>
        <w:t>Training proceeds in rounds/epochs, so evidence can be accumulated over a short temporal window rather than relying on one-shot detection.</w:t>
      </w:r>
    </w:p>
    <w:p>
      <w:pPr/>
      <w:r>
        <w:t>The attack causes cross-view inconsistency but tries to remain locally plausible on the malicious side.</w:t>
      </w:r>
    </w:p>
    <w:p>
      <w:pPr>
        <w:pStyle w:val="Heading2"/>
      </w:pPr>
      <w:r>
        <w:t>2.2 Design goals</w:t>
      </w:r>
    </w:p>
    <w:p>
      <w:pPr>
        <w:ind w:left="340"/>
      </w:pPr>
      <w:r>
        <w:t>• Detect suspicious samples without overreacting to ordinary hard examples.</w:t>
      </w:r>
    </w:p>
    <w:p>
      <w:pPr>
        <w:ind w:left="340"/>
      </w:pPr>
      <w:r>
        <w:t>• Identify which party is more likely corrupted using independent evidence against a trusted baseline.</w:t>
      </w:r>
    </w:p>
    <w:p>
      <w:pPr>
        <w:ind w:left="340"/>
      </w:pPr>
      <w:r>
        <w:t>• Reduce catastrophic clean-accuracy collapse once the attacker is identified.</w:t>
      </w:r>
    </w:p>
    <w:p>
      <w:pPr>
        <w:ind w:left="340"/>
      </w:pPr>
      <w:r>
        <w:t>• Offer both a lightweight mitigation path and a stronger repair path.</w:t>
      </w:r>
    </w:p>
    <w:p>
      <w:pPr>
        <w:ind w:left="340"/>
      </w:pPr>
      <w:r>
        <w:t>• Keep the mechanism publishable: clear assumptions, interpretable scoring, and feasible ablations.</w:t>
      </w:r>
    </w:p>
    <w:p>
      <w:pPr>
        <w:pStyle w:val="Heading1"/>
      </w:pPr>
      <w:r>
        <w:t>3. High-level pipeline</w:t>
      </w:r>
    </w:p>
    <w:tbl>
      <w:tblPr>
        <w:tblStyle w:val="TableGrid"/>
        <w:tblW w:type="auto" w:w="0"/>
        <w:jc w:val="center"/>
        <w:tblLook w:firstColumn="1" w:firstRow="1" w:lastColumn="0" w:lastRow="0" w:noHBand="0" w:noVBand="1" w:val="04A0"/>
        <w:tblBorders>
          <w:top w:val="single" w:sz="10" w:space="0" w:color="B7C9E2"/>
          <w:left w:val="single" w:sz="10" w:space="0" w:color="B7C9E2"/>
          <w:bottom w:val="single" w:sz="10" w:space="0" w:color="B7C9E2"/>
          <w:right w:val="single" w:sz="10" w:space="0" w:color="B7C9E2"/>
          <w:insideH w:val="single" w:sz="10" w:space="0" w:color="B7C9E2"/>
          <w:insideV w:val="single" w:sz="10" w:space="0" w:color="B7C9E2"/>
        </w:tblBorders>
      </w:tblPr>
      <w:tblGrid>
        <w:gridCol w:w="2436"/>
        <w:gridCol w:w="2436"/>
        <w:gridCol w:w="2436"/>
        <w:gridCol w:w="2436"/>
      </w:tblGrid>
      <w:tr>
        <w:tc>
          <w:tcPr>
            <w:tcW w:type="dxa" w:w="2436"/>
            <w:shd w:fill="DCE6F1"/>
            <w:tcMar>
              <w:top w:w="80" w:type="dxa"/>
              <w:start w:w="90" w:type="dxa"/>
              <w:bottom w:w="80" w:type="dxa"/>
              <w:end w:w="90" w:type="dxa"/>
            </w:tcMar>
          </w:tcPr>
          <w:p>
            <w:r>
              <w:rPr>
                <w:b/>
              </w:rPr>
              <w:t>Stage</w:t>
            </w:r>
          </w:p>
        </w:tc>
        <w:tc>
          <w:tcPr>
            <w:tcW w:type="dxa" w:w="2436"/>
            <w:shd w:fill="DCE6F1"/>
            <w:tcMar>
              <w:top w:w="80" w:type="dxa"/>
              <w:start w:w="90" w:type="dxa"/>
              <w:bottom w:w="80" w:type="dxa"/>
              <w:end w:w="90" w:type="dxa"/>
            </w:tcMar>
          </w:tcPr>
          <w:p>
            <w:r>
              <w:rPr>
                <w:b/>
              </w:rPr>
              <w:t>Purpose</w:t>
            </w:r>
          </w:p>
        </w:tc>
        <w:tc>
          <w:tcPr>
            <w:tcW w:type="dxa" w:w="2436"/>
            <w:shd w:fill="DCE6F1"/>
            <w:tcMar>
              <w:top w:w="80" w:type="dxa"/>
              <w:start w:w="90" w:type="dxa"/>
              <w:bottom w:w="80" w:type="dxa"/>
              <w:end w:w="90" w:type="dxa"/>
            </w:tcMar>
          </w:tcPr>
          <w:p>
            <w:r>
              <w:rPr>
                <w:b/>
              </w:rPr>
              <w:t>Input</w:t>
            </w:r>
          </w:p>
        </w:tc>
        <w:tc>
          <w:tcPr>
            <w:tcW w:type="dxa" w:w="2436"/>
            <w:shd w:fill="DCE6F1"/>
            <w:tcMar>
              <w:top w:w="80" w:type="dxa"/>
              <w:start w:w="90" w:type="dxa"/>
              <w:bottom w:w="80" w:type="dxa"/>
              <w:end w:w="90" w:type="dxa"/>
            </w:tcMar>
          </w:tcPr>
          <w:p>
            <w:r>
              <w:rPr>
                <w:b/>
              </w:rPr>
              <w:t>Output</w:t>
            </w:r>
          </w:p>
        </w:tc>
      </w:tr>
      <w:tr>
        <w:tc>
          <w:tcPr>
            <w:tcW w:type="dxa" w:w="2436"/>
            <w:tcMar>
              <w:top w:w="80" w:type="dxa"/>
              <w:start w:w="90" w:type="dxa"/>
              <w:bottom w:w="80" w:type="dxa"/>
              <w:end w:w="90" w:type="dxa"/>
            </w:tcMar>
            <w:vAlign w:val="center"/>
          </w:tcPr>
          <w:p>
            <w:r>
              <w:t>A. Reference modeling</w:t>
            </w:r>
          </w:p>
        </w:tc>
        <w:tc>
          <w:tcPr>
            <w:tcW w:type="dxa" w:w="2436"/>
            <w:tcMar>
              <w:top w:w="80" w:type="dxa"/>
              <w:start w:w="90" w:type="dxa"/>
              <w:bottom w:w="80" w:type="dxa"/>
              <w:end w:w="90" w:type="dxa"/>
            </w:tcMar>
            <w:vAlign w:val="center"/>
          </w:tcPr>
          <w:p>
            <w:r>
              <w:t>Build trusted class/sample behavior for each party</w:t>
            </w:r>
          </w:p>
        </w:tc>
        <w:tc>
          <w:tcPr>
            <w:tcW w:type="dxa" w:w="2436"/>
            <w:tcMar>
              <w:top w:w="80" w:type="dxa"/>
              <w:start w:w="90" w:type="dxa"/>
              <w:bottom w:w="80" w:type="dxa"/>
              <w:end w:w="90" w:type="dxa"/>
            </w:tcMar>
            <w:vAlign w:val="center"/>
          </w:tcPr>
          <w:p>
            <w:r>
              <w:t>Clean reference embeddings, labels, early gradients/logits</w:t>
            </w:r>
          </w:p>
        </w:tc>
        <w:tc>
          <w:tcPr>
            <w:tcW w:type="dxa" w:w="2436"/>
            <w:tcMar>
              <w:top w:w="80" w:type="dxa"/>
              <w:start w:w="90" w:type="dxa"/>
              <w:bottom w:w="80" w:type="dxa"/>
              <w:end w:w="90" w:type="dxa"/>
            </w:tcMar>
            <w:vAlign w:val="center"/>
          </w:tcPr>
          <w:p>
            <w:r>
              <w:t>Party-specific prototypes, calibrators, temporal priors</w:t>
            </w:r>
          </w:p>
        </w:tc>
      </w:tr>
      <w:tr>
        <w:tc>
          <w:tcPr>
            <w:tcW w:type="dxa" w:w="2436"/>
            <w:tcMar>
              <w:top w:w="80" w:type="dxa"/>
              <w:start w:w="90" w:type="dxa"/>
              <w:bottom w:w="80" w:type="dxa"/>
              <w:end w:w="90" w:type="dxa"/>
            </w:tcMar>
            <w:vAlign w:val="center"/>
          </w:tcPr>
          <w:p>
            <w:r>
              <w:t>B. Online suspicion scoring</w:t>
            </w:r>
          </w:p>
        </w:tc>
        <w:tc>
          <w:tcPr>
            <w:tcW w:type="dxa" w:w="2436"/>
            <w:tcMar>
              <w:top w:w="80" w:type="dxa"/>
              <w:start w:w="90" w:type="dxa"/>
              <w:bottom w:w="80" w:type="dxa"/>
              <w:end w:w="90" w:type="dxa"/>
            </w:tcMar>
            <w:vAlign w:val="center"/>
          </w:tcPr>
          <w:p>
            <w:r>
              <w:t>Detect unreliable sample-pairs during training</w:t>
            </w:r>
          </w:p>
        </w:tc>
        <w:tc>
          <w:tcPr>
            <w:tcW w:type="dxa" w:w="2436"/>
            <w:tcMar>
              <w:top w:w="80" w:type="dxa"/>
              <w:start w:w="90" w:type="dxa"/>
              <w:bottom w:w="80" w:type="dxa"/>
              <w:end w:w="90" w:type="dxa"/>
            </w:tcMar>
            <w:vAlign w:val="center"/>
          </w:tcPr>
          <w:p>
            <w:r>
              <w:t>Current embeddings/gradients + trusted reference</w:t>
            </w:r>
          </w:p>
        </w:tc>
        <w:tc>
          <w:tcPr>
            <w:tcW w:type="dxa" w:w="2436"/>
            <w:tcMar>
              <w:top w:w="80" w:type="dxa"/>
              <w:start w:w="90" w:type="dxa"/>
              <w:bottom w:w="80" w:type="dxa"/>
              <w:end w:w="90" w:type="dxa"/>
            </w:tcMar>
            <w:vAlign w:val="center"/>
          </w:tcPr>
          <w:p>
            <w:r>
              <w:t>Per-sample suspicion score and per-party evidence</w:t>
            </w:r>
          </w:p>
        </w:tc>
      </w:tr>
      <w:tr>
        <w:tc>
          <w:tcPr>
            <w:tcW w:type="dxa" w:w="2436"/>
            <w:tcMar>
              <w:top w:w="80" w:type="dxa"/>
              <w:start w:w="90" w:type="dxa"/>
              <w:bottom w:w="80" w:type="dxa"/>
              <w:end w:w="90" w:type="dxa"/>
            </w:tcMar>
            <w:vAlign w:val="center"/>
          </w:tcPr>
          <w:p>
            <w:r>
              <w:t>C. Delayed attribution</w:t>
            </w:r>
          </w:p>
        </w:tc>
        <w:tc>
          <w:tcPr>
            <w:tcW w:type="dxa" w:w="2436"/>
            <w:tcMar>
              <w:top w:w="80" w:type="dxa"/>
              <w:start w:w="90" w:type="dxa"/>
              <w:bottom w:w="80" w:type="dxa"/>
              <w:end w:w="90" w:type="dxa"/>
            </w:tcMar>
            <w:vAlign w:val="center"/>
          </w:tcPr>
          <w:p>
            <w:r>
              <w:t>Avoid one-shot blame assignment</w:t>
            </w:r>
          </w:p>
        </w:tc>
        <w:tc>
          <w:tcPr>
            <w:tcW w:type="dxa" w:w="2436"/>
            <w:tcMar>
              <w:top w:w="80" w:type="dxa"/>
              <w:start w:w="90" w:type="dxa"/>
              <w:bottom w:w="80" w:type="dxa"/>
              <w:end w:w="90" w:type="dxa"/>
            </w:tcMar>
            <w:vAlign w:val="center"/>
          </w:tcPr>
          <w:p>
            <w:r>
              <w:t>Evidence gathered over W rounds</w:t>
            </w:r>
          </w:p>
        </w:tc>
        <w:tc>
          <w:tcPr>
            <w:tcW w:type="dxa" w:w="2436"/>
            <w:tcMar>
              <w:top w:w="80" w:type="dxa"/>
              <w:start w:w="90" w:type="dxa"/>
              <w:bottom w:w="80" w:type="dxa"/>
              <w:end w:w="90" w:type="dxa"/>
            </w:tcMar>
            <w:vAlign w:val="center"/>
          </w:tcPr>
          <w:p>
            <w:r>
              <w:t>Majority vote or aggregated posterior of attacker identity</w:t>
            </w:r>
          </w:p>
        </w:tc>
      </w:tr>
      <w:tr>
        <w:tc>
          <w:tcPr>
            <w:tcW w:type="dxa" w:w="2436"/>
            <w:tcMar>
              <w:top w:w="80" w:type="dxa"/>
              <w:start w:w="90" w:type="dxa"/>
              <w:bottom w:w="80" w:type="dxa"/>
              <w:end w:w="90" w:type="dxa"/>
            </w:tcMar>
            <w:vAlign w:val="center"/>
          </w:tcPr>
          <w:p>
            <w:r>
              <w:t>D. Mitigation</w:t>
            </w:r>
          </w:p>
        </w:tc>
        <w:tc>
          <w:tcPr>
            <w:tcW w:type="dxa" w:w="2436"/>
            <w:tcMar>
              <w:top w:w="80" w:type="dxa"/>
              <w:start w:w="90" w:type="dxa"/>
              <w:bottom w:w="80" w:type="dxa"/>
              <w:end w:w="90" w:type="dxa"/>
            </w:tcMar>
            <w:vAlign w:val="center"/>
          </w:tcPr>
          <w:p>
            <w:r>
              <w:t>Stop collapse once party is attributed</w:t>
            </w:r>
          </w:p>
        </w:tc>
        <w:tc>
          <w:tcPr>
            <w:tcW w:type="dxa" w:w="2436"/>
            <w:tcMar>
              <w:top w:w="80" w:type="dxa"/>
              <w:start w:w="90" w:type="dxa"/>
              <w:bottom w:w="80" w:type="dxa"/>
              <w:end w:w="90" w:type="dxa"/>
            </w:tcMar>
            <w:vAlign w:val="center"/>
          </w:tcPr>
          <w:p>
            <w:r>
              <w:t>Attacker identity + confidence</w:t>
            </w:r>
          </w:p>
        </w:tc>
        <w:tc>
          <w:tcPr>
            <w:tcW w:type="dxa" w:w="2436"/>
            <w:tcMar>
              <w:top w:w="80" w:type="dxa"/>
              <w:start w:w="90" w:type="dxa"/>
              <w:bottom w:w="80" w:type="dxa"/>
              <w:end w:w="90" w:type="dxa"/>
            </w:tcMar>
            <w:vAlign w:val="center"/>
          </w:tcPr>
          <w:p>
            <w:r>
              <w:t>Downweighted fusion or honest-path fallback</w:t>
            </w:r>
          </w:p>
        </w:tc>
      </w:tr>
      <w:tr>
        <w:tc>
          <w:tcPr>
            <w:tcW w:type="dxa" w:w="2436"/>
            <w:tcMar>
              <w:top w:w="80" w:type="dxa"/>
              <w:start w:w="90" w:type="dxa"/>
              <w:bottom w:w="80" w:type="dxa"/>
              <w:end w:w="90" w:type="dxa"/>
            </w:tcMar>
            <w:vAlign w:val="center"/>
          </w:tcPr>
          <w:p>
            <w:r>
              <w:t>E. Repair / reconstruction</w:t>
            </w:r>
          </w:p>
        </w:tc>
        <w:tc>
          <w:tcPr>
            <w:tcW w:type="dxa" w:w="2436"/>
            <w:tcMar>
              <w:top w:w="80" w:type="dxa"/>
              <w:start w:w="90" w:type="dxa"/>
              <w:bottom w:w="80" w:type="dxa"/>
              <w:end w:w="90" w:type="dxa"/>
            </w:tcMar>
            <w:vAlign w:val="center"/>
          </w:tcPr>
          <w:p>
            <w:r>
              <w:t>Recover utility when one half is unusable</w:t>
            </w:r>
          </w:p>
        </w:tc>
        <w:tc>
          <w:tcPr>
            <w:tcW w:type="dxa" w:w="2436"/>
            <w:tcMar>
              <w:top w:w="80" w:type="dxa"/>
              <w:start w:w="90" w:type="dxa"/>
              <w:bottom w:w="80" w:type="dxa"/>
              <w:end w:w="90" w:type="dxa"/>
            </w:tcMar>
            <w:vAlign w:val="center"/>
          </w:tcPr>
          <w:p>
            <w:r>
              <w:t>Honest embedding and reference bank</w:t>
            </w:r>
          </w:p>
        </w:tc>
        <w:tc>
          <w:tcPr>
            <w:tcW w:type="dxa" w:w="2436"/>
            <w:tcMar>
              <w:top w:w="80" w:type="dxa"/>
              <w:start w:w="90" w:type="dxa"/>
              <w:bottom w:w="80" w:type="dxa"/>
              <w:end w:w="90" w:type="dxa"/>
            </w:tcMar>
            <w:vAlign w:val="center"/>
          </w:tcPr>
          <w:p>
            <w:r>
              <w:t>Reconstructed surrogate embedding for corrupted half</w:t>
            </w:r>
          </w:p>
        </w:tc>
      </w:tr>
    </w:tbl>
    <w:p/>
    <w:p>
      <w:pPr>
        <w:pStyle w:val="Heading1"/>
      </w:pPr>
      <w:r>
        <w:t>4. Stage A — Build the trusted reference model</w:t>
      </w:r>
    </w:p>
    <w:p>
      <w:r>
        <w:t>The reference set should not be treated as only a cache of old embeddings. It should be turned into a structured trust model for each party.</w:t>
      </w:r>
    </w:p>
    <w:p>
      <w:pPr>
        <w:pStyle w:val="Heading2"/>
      </w:pPr>
      <w:r>
        <w:t>4.1 What to store</w:t>
      </w:r>
    </w:p>
    <w:p>
      <w:pPr>
        <w:ind w:left="340"/>
      </w:pPr>
      <w:r>
        <w:t>• Class-wise embedding prototypes for each party: p_A,c and p_B,c.</w:t>
      </w:r>
    </w:p>
    <w:p>
      <w:pPr>
        <w:ind w:left="340"/>
      </w:pPr>
      <w:r>
        <w:t>• Class-wise covariance or spread estimates, so distance can be normalized rather than measured with plain Euclidean distance.</w:t>
      </w:r>
    </w:p>
    <w:p>
      <w:pPr>
        <w:ind w:left="340"/>
      </w:pPr>
      <w:r>
        <w:t>• Optional sample-level memory for the reference IDs: a compact EMA memory m_i^A, m_i^B to encode how stable a sample’s embedding should be over time.</w:t>
      </w:r>
    </w:p>
    <w:p>
      <w:pPr>
        <w:ind w:left="340"/>
      </w:pPr>
      <w:r>
        <w:t>• Optional gradient or logit reference signatures per class from the early clean phase.</w:t>
      </w:r>
    </w:p>
    <w:p>
      <w:pPr>
        <w:ind w:left="340"/>
      </w:pPr>
      <w:r>
        <w:t>• Calibration thresholds learned on clean data: expected same-class distance, expected cross-view agreement, expected gradient-angle range.</w:t>
      </w:r>
    </w:p>
    <w:p>
      <w:pPr>
        <w:pStyle w:val="Heading2"/>
      </w:pPr>
      <w:r>
        <w:t>4.2 Recommended representation statistics</w:t>
      </w:r>
    </w:p>
    <w:p>
      <w:r>
        <w:t>For each party k ∈ {A,B} and class c, maintain:</w:t>
      </w:r>
    </w:p>
    <w:p>
      <w:pPr>
        <w:ind w:left="454"/>
      </w:pPr>
      <w:r>
        <w:t>– Prototype: p_k,c = mean(h_i^k | y_i = c)</w:t>
      </w:r>
    </w:p>
    <w:p>
      <w:pPr>
        <w:ind w:left="454"/>
      </w:pPr>
      <w:r>
        <w:t>– Covariance / precision: Σ_k,c or a diagonal variance estimate</w:t>
      </w:r>
    </w:p>
    <w:p>
      <w:pPr>
        <w:ind w:left="454"/>
      </w:pPr>
      <w:r>
        <w:t>– Mahalanobis score: d_k(i,c) = (h_i^k − p_k,c)^T Σ_k,c^{-1} (h_i^k − p_k,c)</w:t>
      </w:r>
    </w:p>
    <w:p>
      <w:pPr>
        <w:ind w:left="454"/>
      </w:pPr>
      <w:r>
        <w:t>– Temporal drift score: t_k(i) = 1 − cos(h_i^k, m_i^k)</w:t>
      </w:r>
    </w:p>
    <w:p>
      <w:pPr>
        <w:pStyle w:val="Heading1"/>
      </w:pPr>
      <w:r>
        <w:t>5. Stage B — Online suspicion scoring</w:t>
      </w:r>
    </w:p>
    <w:p>
      <w:r>
        <w:t>For each incoming training sample i with label y_i, compute both a pair-level alarm and independent party-level evidence. The pair-level alarm says 'this sample-pair is suspicious'; the party-level evidence says 'which side is more inconsistent with the trusted clean reference.'</w:t>
      </w:r>
    </w:p>
    <w:p>
      <w:pPr>
        <w:pStyle w:val="Heading2"/>
      </w:pPr>
      <w:r>
        <w:t>5.1 Pair-level detection signals</w:t>
      </w:r>
    </w:p>
    <w:tbl>
      <w:tblPr>
        <w:tblW w:type="auto" w:w="0"/>
        <w:jc w:val="center"/>
        <w:tblLook w:firstColumn="1" w:firstRow="1" w:lastColumn="0" w:lastRow="0" w:noHBand="0" w:noVBand="1" w:val="04A0"/>
        <w:tblBorders>
          <w:top w:val="single" w:sz="9" w:space="0" w:color="D0DCEB"/>
          <w:left w:val="single" w:sz="9" w:space="0" w:color="D0DCEB"/>
          <w:bottom w:val="single" w:sz="9" w:space="0" w:color="D0DCEB"/>
          <w:right w:val="single" w:sz="9" w:space="0" w:color="D0DCEB"/>
          <w:insideH w:val="single" w:sz="9" w:space="0" w:color="D0DCEB"/>
          <w:insideV w:val="single" w:sz="9" w:space="0" w:color="D0DCEB"/>
        </w:tblBorders>
      </w:tblPr>
      <w:tblGrid>
        <w:gridCol w:w="3249"/>
        <w:gridCol w:w="3249"/>
        <w:gridCol w:w="3249"/>
      </w:tblGrid>
      <w:tr>
        <w:tc>
          <w:tcPr>
            <w:tcW w:type="dxa" w:w="3249"/>
            <w:shd w:fill="EAF0F8"/>
            <w:tcMar>
              <w:top w:w="80" w:type="dxa"/>
              <w:start w:w="90" w:type="dxa"/>
              <w:bottom w:w="80" w:type="dxa"/>
              <w:end w:w="90" w:type="dxa"/>
            </w:tcMar>
          </w:tcPr>
          <w:p>
            <w:r>
              <w:rPr>
                <w:b/>
              </w:rPr>
              <w:t>Signal</w:t>
            </w:r>
          </w:p>
        </w:tc>
        <w:tc>
          <w:tcPr>
            <w:tcW w:type="dxa" w:w="3249"/>
            <w:shd w:fill="EAF0F8"/>
            <w:tcMar>
              <w:top w:w="80" w:type="dxa"/>
              <w:start w:w="90" w:type="dxa"/>
              <w:bottom w:w="80" w:type="dxa"/>
              <w:end w:w="90" w:type="dxa"/>
            </w:tcMar>
          </w:tcPr>
          <w:p>
            <w:r>
              <w:rPr>
                <w:b/>
              </w:rPr>
              <w:t>Why it helps</w:t>
            </w:r>
          </w:p>
        </w:tc>
        <w:tc>
          <w:tcPr>
            <w:tcW w:type="dxa" w:w="3249"/>
            <w:shd w:fill="EAF0F8"/>
            <w:tcMar>
              <w:top w:w="80" w:type="dxa"/>
              <w:start w:w="90" w:type="dxa"/>
              <w:bottom w:w="80" w:type="dxa"/>
              <w:end w:w="90" w:type="dxa"/>
            </w:tcMar>
          </w:tcPr>
          <w:p>
            <w:r>
              <w:rPr>
                <w:b/>
              </w:rPr>
              <w:t>Concrete option</w:t>
            </w:r>
          </w:p>
        </w:tc>
      </w:tr>
      <w:tr>
        <w:tc>
          <w:tcPr>
            <w:tcW w:type="dxa" w:w="3249"/>
            <w:tcMar>
              <w:top w:w="80" w:type="dxa"/>
              <w:start w:w="90" w:type="dxa"/>
              <w:bottom w:w="80" w:type="dxa"/>
              <w:end w:w="90" w:type="dxa"/>
            </w:tcMar>
          </w:tcPr>
          <w:p>
            <w:r>
              <w:t>Cross-view agreement</w:t>
            </w:r>
          </w:p>
        </w:tc>
        <w:tc>
          <w:tcPr>
            <w:tcW w:type="dxa" w:w="3249"/>
            <w:tcMar>
              <w:top w:w="80" w:type="dxa"/>
              <w:start w:w="90" w:type="dxa"/>
              <w:bottom w:w="80" w:type="dxa"/>
              <w:end w:w="90" w:type="dxa"/>
            </w:tcMar>
          </w:tcPr>
          <w:p>
            <w:r>
              <w:t>Swapped or mismatched views should disagree with the expected joint geometry</w:t>
            </w:r>
          </w:p>
        </w:tc>
        <w:tc>
          <w:tcPr>
            <w:tcW w:type="dxa" w:w="3249"/>
            <w:tcMar>
              <w:top w:w="80" w:type="dxa"/>
              <w:start w:w="90" w:type="dxa"/>
              <w:bottom w:w="80" w:type="dxa"/>
              <w:end w:w="90" w:type="dxa"/>
            </w:tcMar>
          </w:tcPr>
          <w:p>
            <w:r>
              <w:t>Cosine similarity after projecting both embeddings to a shared space</w:t>
            </w:r>
          </w:p>
        </w:tc>
      </w:tr>
      <w:tr>
        <w:tc>
          <w:tcPr>
            <w:tcW w:type="dxa" w:w="3249"/>
            <w:tcMar>
              <w:top w:w="80" w:type="dxa"/>
              <w:start w:w="90" w:type="dxa"/>
              <w:bottom w:w="80" w:type="dxa"/>
              <w:end w:w="90" w:type="dxa"/>
            </w:tcMar>
          </w:tcPr>
          <w:p>
            <w:r>
              <w:t>Label-conditioned compatibility</w:t>
            </w:r>
          </w:p>
        </w:tc>
        <w:tc>
          <w:tcPr>
            <w:tcW w:type="dxa" w:w="3249"/>
            <w:tcMar>
              <w:top w:w="80" w:type="dxa"/>
              <w:start w:w="90" w:type="dxa"/>
              <w:bottom w:w="80" w:type="dxa"/>
              <w:end w:w="90" w:type="dxa"/>
            </w:tcMar>
          </w:tcPr>
          <w:p>
            <w:r>
              <w:t>A corrupted view may remain locally plausible but become wrong for its assigned label</w:t>
            </w:r>
          </w:p>
        </w:tc>
        <w:tc>
          <w:tcPr>
            <w:tcW w:type="dxa" w:w="3249"/>
            <w:tcMar>
              <w:top w:w="80" w:type="dxa"/>
              <w:start w:w="90" w:type="dxa"/>
              <w:bottom w:w="80" w:type="dxa"/>
              <w:end w:w="90" w:type="dxa"/>
            </w:tcMar>
          </w:tcPr>
          <w:p>
            <w:r>
              <w:t>Distance to class prototype or class-conditional energy</w:t>
            </w:r>
          </w:p>
        </w:tc>
      </w:tr>
      <w:tr>
        <w:tc>
          <w:tcPr>
            <w:tcW w:type="dxa" w:w="3249"/>
            <w:tcMar>
              <w:top w:w="80" w:type="dxa"/>
              <w:start w:w="90" w:type="dxa"/>
              <w:bottom w:w="80" w:type="dxa"/>
              <w:end w:w="90" w:type="dxa"/>
            </w:tcMar>
          </w:tcPr>
          <w:p>
            <w:r>
              <w:t>Gradient-direction conflict</w:t>
            </w:r>
          </w:p>
        </w:tc>
        <w:tc>
          <w:tcPr>
            <w:tcW w:type="dxa" w:w="3249"/>
            <w:tcMar>
              <w:top w:w="80" w:type="dxa"/>
              <w:start w:w="90" w:type="dxa"/>
              <w:bottom w:w="80" w:type="dxa"/>
              <w:end w:w="90" w:type="dxa"/>
            </w:tcMar>
          </w:tcPr>
          <w:p>
            <w:r>
              <w:t>The malicious half may induce updates inconsistent with clean reference behavior</w:t>
            </w:r>
          </w:p>
        </w:tc>
        <w:tc>
          <w:tcPr>
            <w:tcW w:type="dxa" w:w="3249"/>
            <w:tcMar>
              <w:top w:w="80" w:type="dxa"/>
              <w:start w:w="90" w:type="dxa"/>
              <w:bottom w:w="80" w:type="dxa"/>
              <w:end w:w="90" w:type="dxa"/>
            </w:tcMar>
          </w:tcPr>
          <w:p>
            <w:r>
              <w:t>Angle between current gradient and clean class-wise gradient reference</w:t>
            </w:r>
          </w:p>
        </w:tc>
      </w:tr>
      <w:tr>
        <w:tc>
          <w:tcPr>
            <w:tcW w:type="dxa" w:w="3249"/>
            <w:tcMar>
              <w:top w:w="80" w:type="dxa"/>
              <w:start w:w="90" w:type="dxa"/>
              <w:bottom w:w="80" w:type="dxa"/>
              <w:end w:w="90" w:type="dxa"/>
            </w:tcMar>
          </w:tcPr>
          <w:p>
            <w:r>
              <w:t>Prediction instability</w:t>
            </w:r>
          </w:p>
        </w:tc>
        <w:tc>
          <w:tcPr>
            <w:tcW w:type="dxa" w:w="3249"/>
            <w:tcMar>
              <w:top w:w="80" w:type="dxa"/>
              <w:start w:w="90" w:type="dxa"/>
              <w:bottom w:w="80" w:type="dxa"/>
              <w:end w:w="90" w:type="dxa"/>
            </w:tcMar>
          </w:tcPr>
          <w:p>
            <w:r>
              <w:t>Poisoned pairs often create unstable logits/confidence over nearby rounds</w:t>
            </w:r>
          </w:p>
        </w:tc>
        <w:tc>
          <w:tcPr>
            <w:tcW w:type="dxa" w:w="3249"/>
            <w:tcMar>
              <w:top w:w="80" w:type="dxa"/>
              <w:start w:w="90" w:type="dxa"/>
              <w:bottom w:w="80" w:type="dxa"/>
              <w:end w:w="90" w:type="dxa"/>
            </w:tcMar>
          </w:tcPr>
          <w:p>
            <w:r>
              <w:t>Variance of logits or confidence over a short moving window</w:t>
            </w:r>
          </w:p>
        </w:tc>
      </w:tr>
    </w:tbl>
    <w:p/>
    <w:p>
      <w:pPr>
        <w:pStyle w:val="Heading2"/>
      </w:pPr>
      <w:r>
        <w:t>5.2 Party-level evidence scores</w:t>
      </w:r>
    </w:p>
    <w:p>
      <w:r>
        <w:t>For each party k, compute an evidence score E_k(i,r) at round r. A practical formulation is:</w:t>
      </w:r>
    </w:p>
    <w:p>
      <w:pPr>
        <w:ind w:left="397"/>
      </w:pPr>
      <w:r>
        <w:t>• Prototype inconsistency: e_proto^k = normalized distance to the correct class prototype.</w:t>
      </w:r>
    </w:p>
    <w:p>
      <w:pPr>
        <w:ind w:left="397"/>
      </w:pPr>
      <w:r>
        <w:t>• Temporal inconsistency: e_temp^k = drift from the sample’s historical EMA or class-local neighborhood.</w:t>
      </w:r>
    </w:p>
    <w:p>
      <w:pPr>
        <w:ind w:left="397"/>
      </w:pPr>
      <w:r>
        <w:t>• Gradient inconsistency: e_grad^k = 1 − cosine(current gradient, clean class-reference gradient).</w:t>
      </w:r>
    </w:p>
    <w:p>
      <w:pPr>
        <w:ind w:left="397"/>
      </w:pPr>
      <w:r>
        <w:t>• Cross-view residual contribution: how much party k alone explains the mismatch when the other view is treated as fixed.</w:t>
      </w:r>
    </w:p>
    <w:p>
      <w:r>
        <w:t>Then combine them into a calibrated score:</w:t>
      </w:r>
    </w:p>
    <w:p>
      <w:pPr>
        <w:ind w:left="454"/>
      </w:pPr>
      <w:r>
        <w:t>E_k(i,r) = w1·e_proto^k + w2·e_temp^k + w3·e_grad^k + w4·e_resid^k</w:t>
      </w:r>
    </w:p>
    <w:p>
      <w:r>
        <w:t>A sample becomes suspicious when the pair-level alarm is high and at least one party-level evidence score crosses a threshold. This avoids blaming a party purely because the sample is difficult.</w:t>
      </w:r>
    </w:p>
    <w:p>
      <w:pPr>
        <w:pStyle w:val="Heading1"/>
      </w:pPr>
      <w:r>
        <w:t>6. Stage C — Delayed attribution via majority voting across rounds</w:t>
      </w:r>
    </w:p>
    <w:p>
      <w:r>
        <w:t>Your idea of waiting a few rounds after first suspicion is sound. In 2-party VFL, one-shot attribution is noisy. A short observation window W creates a more stable decision.</w:t>
      </w:r>
    </w:p>
    <w:p>
      <w:pPr>
        <w:pStyle w:val="Heading2"/>
      </w:pPr>
      <w:r>
        <w:t>6.1 Basic majority-vote version</w:t>
      </w:r>
    </w:p>
    <w:p>
      <w:pPr>
        <w:ind w:left="340"/>
      </w:pPr>
      <w:r>
        <w:t>• At first detection time r0, mark the sample as watchlisted instead of immediately taking aggressive action.</w:t>
      </w:r>
    </w:p>
    <w:p>
      <w:pPr>
        <w:ind w:left="340"/>
      </w:pPr>
      <w:r>
        <w:t>• Over the next W rounds, collect the per-round evidence pair (E_A(i,r), E_B(i,r)).</w:t>
      </w:r>
    </w:p>
    <w:p>
      <w:pPr>
        <w:ind w:left="340"/>
      </w:pPr>
      <w:r>
        <w:t>• At each round, assign a provisional vote to the party with larger normalized evidence, provided the margin exceeds a minimum confidence gap δ.</w:t>
      </w:r>
    </w:p>
    <w:p>
      <w:pPr>
        <w:ind w:left="340"/>
      </w:pPr>
      <w:r>
        <w:t>• After W rounds, declare the attacker for that sample by majority vote over provisional decisions.</w:t>
      </w:r>
    </w:p>
    <w:p>
      <w:pPr>
        <w:ind w:left="340"/>
      </w:pPr>
      <w:r>
        <w:t>• Aggregate sample-level votes across the batch or epoch to identify the globally suspicious party.</w:t>
      </w:r>
    </w:p>
    <w:p>
      <w:pPr>
        <w:pStyle w:val="Heading2"/>
      </w:pPr>
      <w:r>
        <w:t>6.2 A more sophisticated alternative: Bayesian or weighted voting</w:t>
      </w:r>
    </w:p>
    <w:p>
      <w:r>
        <w:t>Instead of a hard vote per round, use a weighted log-likelihood ratio:</w:t>
      </w:r>
    </w:p>
    <w:p>
      <w:pPr>
        <w:ind w:left="454"/>
      </w:pPr>
      <w:r>
        <w:t>LLR_i = Σ_{r=r0}^{r0+W−1} α_r · (E_A(i,r) − E_B(i,r))</w:t>
      </w:r>
    </w:p>
    <w:p>
      <w:r>
        <w:t>If LLR_i &gt; τ, accuse A; if LLR_i &lt; −τ, accuse B; otherwise keep the sample under observation. This is statistically cleaner than raw counting because stronger evidence contributes more.</w:t>
      </w:r>
    </w:p>
    <w:p>
      <w:pPr>
        <w:pStyle w:val="Heading2"/>
      </w:pPr>
      <w:r>
        <w:t>6.3 Global attacker attribution</w:t>
      </w:r>
    </w:p>
    <w:p>
      <w:r>
        <w:t>Since the attack is party-level rather than random per-sample corruption, final attribution should also be aggregated globally. Use one of the following:</w:t>
      </w:r>
    </w:p>
    <w:tbl>
      <w:tblPr>
        <w:tblW w:type="auto" w:w="0"/>
        <w:jc w:val="center"/>
        <w:tblLook w:firstColumn="1" w:firstRow="1" w:lastColumn="0" w:lastRow="0" w:noHBand="0" w:noVBand="1" w:val="04A0"/>
        <w:tblBorders>
          <w:top w:val="single" w:sz="9" w:space="0" w:color="D0DCEB"/>
          <w:left w:val="single" w:sz="9" w:space="0" w:color="D0DCEB"/>
          <w:bottom w:val="single" w:sz="9" w:space="0" w:color="D0DCEB"/>
          <w:right w:val="single" w:sz="9" w:space="0" w:color="D0DCEB"/>
          <w:insideH w:val="single" w:sz="9" w:space="0" w:color="D0DCEB"/>
          <w:insideV w:val="single" w:sz="9" w:space="0" w:color="D0DCEB"/>
        </w:tblBorders>
      </w:tblPr>
      <w:tblGrid>
        <w:gridCol w:w="3249"/>
        <w:gridCol w:w="3249"/>
        <w:gridCol w:w="3249"/>
      </w:tblGrid>
      <w:tr>
        <w:tc>
          <w:tcPr>
            <w:tcW w:type="dxa" w:w="3249"/>
            <w:shd w:fill="EAF0F8"/>
            <w:tcMar>
              <w:top w:w="80" w:type="dxa"/>
              <w:start w:w="90" w:type="dxa"/>
              <w:bottom w:w="80" w:type="dxa"/>
              <w:end w:w="90" w:type="dxa"/>
            </w:tcMar>
          </w:tcPr>
          <w:p>
            <w:r>
              <w:rPr>
                <w:b/>
              </w:rPr>
              <w:t>Method</w:t>
            </w:r>
          </w:p>
        </w:tc>
        <w:tc>
          <w:tcPr>
            <w:tcW w:type="dxa" w:w="3249"/>
            <w:shd w:fill="EAF0F8"/>
            <w:tcMar>
              <w:top w:w="80" w:type="dxa"/>
              <w:start w:w="90" w:type="dxa"/>
              <w:bottom w:w="80" w:type="dxa"/>
              <w:end w:w="90" w:type="dxa"/>
            </w:tcMar>
          </w:tcPr>
          <w:p>
            <w:r>
              <w:rPr>
                <w:b/>
              </w:rPr>
              <w:t>Strength</w:t>
            </w:r>
          </w:p>
        </w:tc>
        <w:tc>
          <w:tcPr>
            <w:tcW w:type="dxa" w:w="3249"/>
            <w:shd w:fill="EAF0F8"/>
            <w:tcMar>
              <w:top w:w="80" w:type="dxa"/>
              <w:start w:w="90" w:type="dxa"/>
              <w:bottom w:w="80" w:type="dxa"/>
              <w:end w:w="90" w:type="dxa"/>
            </w:tcMar>
          </w:tcPr>
          <w:p>
            <w:r>
              <w:rPr>
                <w:b/>
              </w:rPr>
              <w:t>Weakness</w:t>
            </w:r>
          </w:p>
        </w:tc>
      </w:tr>
      <w:tr>
        <w:tc>
          <w:tcPr>
            <w:tcW w:type="dxa" w:w="3249"/>
            <w:tcMar>
              <w:top w:w="80" w:type="dxa"/>
              <w:start w:w="90" w:type="dxa"/>
              <w:bottom w:w="80" w:type="dxa"/>
              <w:end w:w="90" w:type="dxa"/>
            </w:tcMar>
          </w:tcPr>
          <w:p>
            <w:r>
              <w:t>Simple vote count across suspicious samples</w:t>
            </w:r>
          </w:p>
        </w:tc>
        <w:tc>
          <w:tcPr>
            <w:tcW w:type="dxa" w:w="3249"/>
            <w:tcMar>
              <w:top w:w="80" w:type="dxa"/>
              <w:start w:w="90" w:type="dxa"/>
              <w:bottom w:w="80" w:type="dxa"/>
              <w:end w:w="90" w:type="dxa"/>
            </w:tcMar>
          </w:tcPr>
          <w:p>
            <w:r>
              <w:t>Easy to implement and explain</w:t>
            </w:r>
          </w:p>
        </w:tc>
        <w:tc>
          <w:tcPr>
            <w:tcW w:type="dxa" w:w="3249"/>
            <w:tcMar>
              <w:top w:w="80" w:type="dxa"/>
              <w:start w:w="90" w:type="dxa"/>
              <w:bottom w:w="80" w:type="dxa"/>
              <w:end w:w="90" w:type="dxa"/>
            </w:tcMar>
          </w:tcPr>
          <w:p>
            <w:r>
              <w:t>May be unstable under many ambiguous samples</w:t>
            </w:r>
          </w:p>
        </w:tc>
      </w:tr>
      <w:tr>
        <w:tc>
          <w:tcPr>
            <w:tcW w:type="dxa" w:w="3249"/>
            <w:tcMar>
              <w:top w:w="80" w:type="dxa"/>
              <w:start w:w="90" w:type="dxa"/>
              <w:bottom w:w="80" w:type="dxa"/>
              <w:end w:w="90" w:type="dxa"/>
            </w:tcMar>
          </w:tcPr>
          <w:p>
            <w:r>
              <w:t>Confidence-weighted voting</w:t>
            </w:r>
          </w:p>
        </w:tc>
        <w:tc>
          <w:tcPr>
            <w:tcW w:type="dxa" w:w="3249"/>
            <w:tcMar>
              <w:top w:w="80" w:type="dxa"/>
              <w:start w:w="90" w:type="dxa"/>
              <w:bottom w:w="80" w:type="dxa"/>
              <w:end w:w="90" w:type="dxa"/>
            </w:tcMar>
          </w:tcPr>
          <w:p>
            <w:r>
              <w:t>Uses strength of evidence, not just sign</w:t>
            </w:r>
          </w:p>
        </w:tc>
        <w:tc>
          <w:tcPr>
            <w:tcW w:type="dxa" w:w="3249"/>
            <w:tcMar>
              <w:top w:w="80" w:type="dxa"/>
              <w:start w:w="90" w:type="dxa"/>
              <w:bottom w:w="80" w:type="dxa"/>
              <w:end w:w="90" w:type="dxa"/>
            </w:tcMar>
          </w:tcPr>
          <w:p>
            <w:r>
              <w:t>Needs calibrated scores</w:t>
            </w:r>
          </w:p>
        </w:tc>
      </w:tr>
      <w:tr>
        <w:tc>
          <w:tcPr>
            <w:tcW w:type="dxa" w:w="3249"/>
            <w:tcMar>
              <w:top w:w="80" w:type="dxa"/>
              <w:start w:w="90" w:type="dxa"/>
              <w:bottom w:w="80" w:type="dxa"/>
              <w:end w:w="90" w:type="dxa"/>
            </w:tcMar>
          </w:tcPr>
          <w:p>
            <w:r>
              <w:t>Sequential probability ratio test</w:t>
            </w:r>
          </w:p>
        </w:tc>
        <w:tc>
          <w:tcPr>
            <w:tcW w:type="dxa" w:w="3249"/>
            <w:tcMar>
              <w:top w:w="80" w:type="dxa"/>
              <w:start w:w="90" w:type="dxa"/>
              <w:bottom w:w="80" w:type="dxa"/>
              <w:end w:w="90" w:type="dxa"/>
            </w:tcMar>
          </w:tcPr>
          <w:p>
            <w:r>
              <w:t>Fast early decision when evidence is strong</w:t>
            </w:r>
          </w:p>
        </w:tc>
        <w:tc>
          <w:tcPr>
            <w:tcW w:type="dxa" w:w="3249"/>
            <w:tcMar>
              <w:top w:w="80" w:type="dxa"/>
              <w:start w:w="90" w:type="dxa"/>
              <w:bottom w:w="80" w:type="dxa"/>
              <w:end w:w="90" w:type="dxa"/>
            </w:tcMar>
          </w:tcPr>
          <w:p>
            <w:r>
              <w:t>More complex to tune and present</w:t>
            </w:r>
          </w:p>
        </w:tc>
      </w:tr>
      <w:tr>
        <w:tc>
          <w:tcPr>
            <w:tcW w:type="dxa" w:w="3249"/>
            <w:tcMar>
              <w:top w:w="80" w:type="dxa"/>
              <w:start w:w="90" w:type="dxa"/>
              <w:bottom w:w="80" w:type="dxa"/>
              <w:end w:w="90" w:type="dxa"/>
            </w:tcMar>
          </w:tcPr>
          <w:p>
            <w:r>
              <w:t>Epoch-level smoothed posterior</w:t>
            </w:r>
          </w:p>
        </w:tc>
        <w:tc>
          <w:tcPr>
            <w:tcW w:type="dxa" w:w="3249"/>
            <w:tcMar>
              <w:top w:w="80" w:type="dxa"/>
              <w:start w:w="90" w:type="dxa"/>
              <w:bottom w:w="80" w:type="dxa"/>
              <w:end w:w="90" w:type="dxa"/>
            </w:tcMar>
          </w:tcPr>
          <w:p>
            <w:r>
              <w:t>Stable and robust to noise</w:t>
            </w:r>
          </w:p>
        </w:tc>
        <w:tc>
          <w:tcPr>
            <w:tcW w:type="dxa" w:w="3249"/>
            <w:tcMar>
              <w:top w:w="80" w:type="dxa"/>
              <w:start w:w="90" w:type="dxa"/>
              <w:bottom w:w="80" w:type="dxa"/>
              <w:end w:w="90" w:type="dxa"/>
            </w:tcMar>
          </w:tcPr>
          <w:p>
            <w:r>
              <w:t>Slightly slower reaction time</w:t>
            </w:r>
          </w:p>
        </w:tc>
      </w:tr>
    </w:tbl>
    <w:p/>
    <w:p>
      <w:r>
        <w:t>Recommended choice: start with confidence-weighted voting. It is strong enough to look sophisticated, but still understandable in a paper.</w:t>
      </w:r>
    </w:p>
    <w:p>
      <w:pPr>
        <w:pStyle w:val="Heading1"/>
      </w:pPr>
      <w:r>
        <w:t>7. What to do after attribution</w:t>
      </w:r>
    </w:p>
    <w:p>
      <w:r>
        <w:t>Once the likely attacker is identified with enough confidence, the defense should move from diagnosis to survival. There are two main branches.</w:t>
      </w:r>
    </w:p>
    <w:p>
      <w:pPr>
        <w:pStyle w:val="Heading2"/>
      </w:pPr>
      <w:r>
        <w:t>7.1 Branch 1 — Downweight the attacker and rely more on the honest path</w:t>
      </w:r>
    </w:p>
    <w:p>
      <w:r>
        <w:t>This is the lighter and easier branch.</w:t>
      </w:r>
    </w:p>
    <w:p>
      <w:pPr>
        <w:ind w:left="340"/>
      </w:pPr>
      <w:r>
        <w:t>• Introduce a trust weight ρ_k for each party. After attribution, force ρ_attacker to decay sharply and ρ_honest to remain high.</w:t>
      </w:r>
    </w:p>
    <w:p>
      <w:pPr>
        <w:ind w:left="340"/>
      </w:pPr>
      <w:r>
        <w:t>• Use fusion z_i = ρ_A·W_A h_i^A + ρ_B·W_B h_i^B instead of equal fusion.</w:t>
      </w:r>
    </w:p>
    <w:p>
      <w:pPr>
        <w:ind w:left="340"/>
      </w:pPr>
      <w:r>
        <w:t>• Train the server head with modality dropout from the beginning, so the classifier already knows how to operate when one view is suppressed.</w:t>
      </w:r>
    </w:p>
    <w:p>
      <w:pPr>
        <w:ind w:left="340"/>
      </w:pPr>
      <w:r>
        <w:t>• Optionally switch fully to an honest-view-only head when attack confidence is very high.</w:t>
      </w:r>
    </w:p>
    <w:p>
      <w:pPr>
        <w:pStyle w:val="Heading3"/>
      </w:pPr>
      <w:r>
        <w:t>When this branch is appropriate</w:t>
      </w:r>
    </w:p>
    <w:p>
      <w:r>
        <w:t>Use it when the honest party alone retains enough predictive power, or when you want the simplest publishable mitigation baseline. This branch is unlikely to fully recover clean accuracy, but it can prevent collapse.</w:t>
      </w:r>
    </w:p>
    <w:p>
      <w:pPr>
        <w:pStyle w:val="Heading2"/>
      </w:pPr>
      <w:r>
        <w:t>7.2 Branch 2 — Reconstruction of the corrupted half</w:t>
      </w:r>
    </w:p>
    <w:p>
      <w:r>
        <w:t>This is the stronger branch and the one most likely to preserve utility in a true 2-party system.</w:t>
      </w:r>
    </w:p>
    <w:p>
      <w:pPr>
        <w:ind w:left="340"/>
      </w:pPr>
      <w:r>
        <w:t>• Once the malicious party is identified, stop trusting its live embedding for suspicious samples.</w:t>
      </w:r>
    </w:p>
    <w:p>
      <w:pPr>
        <w:ind w:left="340"/>
      </w:pPr>
      <w:r>
        <w:t>• Replace it with a reconstructed surrogate embedding generated from the honest view and the clean reference model.</w:t>
      </w:r>
    </w:p>
    <w:p>
      <w:pPr>
        <w:ind w:left="340"/>
      </w:pPr>
      <w:r>
        <w:t>• Feed [h_honest, ĥ_corrupt] to the joint head rather than [h_honest, h_corrupt].</w:t>
      </w:r>
    </w:p>
    <w:p>
      <w:pPr>
        <w:pStyle w:val="Heading1"/>
      </w:pPr>
      <w:r>
        <w:t>8. Reconstruction options: structured analysis</w:t>
      </w:r>
    </w:p>
    <w:tbl>
      <w:tblPr>
        <w:tblW w:type="auto" w:w="0"/>
        <w:jc w:val="center"/>
        <w:tblLook w:firstColumn="1" w:firstRow="1" w:lastColumn="0" w:lastRow="0" w:noHBand="0" w:noVBand="1" w:val="04A0"/>
        <w:tblBorders>
          <w:top w:val="single" w:sz="9" w:space="0" w:color="C7D6EA"/>
          <w:left w:val="single" w:sz="9" w:space="0" w:color="C7D6EA"/>
          <w:bottom w:val="single" w:sz="9" w:space="0" w:color="C7D6EA"/>
          <w:right w:val="single" w:sz="9" w:space="0" w:color="C7D6EA"/>
          <w:insideH w:val="single" w:sz="9" w:space="0" w:color="C7D6EA"/>
          <w:insideV w:val="single" w:sz="9" w:space="0" w:color="C7D6EA"/>
        </w:tblBorders>
      </w:tblPr>
      <w:tblGrid>
        <w:gridCol w:w="1949"/>
        <w:gridCol w:w="1949"/>
        <w:gridCol w:w="1949"/>
        <w:gridCol w:w="1949"/>
        <w:gridCol w:w="1949"/>
      </w:tblGrid>
      <w:tr>
        <w:tc>
          <w:tcPr>
            <w:tcW w:type="dxa" w:w="1949"/>
            <w:shd w:fill="DCEAF7"/>
            <w:tcMar>
              <w:top w:w="80" w:type="dxa"/>
              <w:start w:w="90" w:type="dxa"/>
              <w:bottom w:w="80" w:type="dxa"/>
              <w:end w:w="90" w:type="dxa"/>
            </w:tcMar>
          </w:tcPr>
          <w:p>
            <w:r>
              <w:rPr>
                <w:b/>
              </w:rPr>
              <w:t>Option</w:t>
            </w:r>
          </w:p>
        </w:tc>
        <w:tc>
          <w:tcPr>
            <w:tcW w:type="dxa" w:w="1949"/>
            <w:shd w:fill="DCEAF7"/>
            <w:tcMar>
              <w:top w:w="80" w:type="dxa"/>
              <w:start w:w="90" w:type="dxa"/>
              <w:bottom w:w="80" w:type="dxa"/>
              <w:end w:w="90" w:type="dxa"/>
            </w:tcMar>
          </w:tcPr>
          <w:p>
            <w:r>
              <w:rPr>
                <w:b/>
              </w:rPr>
              <w:t>Mechanism</w:t>
            </w:r>
          </w:p>
        </w:tc>
        <w:tc>
          <w:tcPr>
            <w:tcW w:type="dxa" w:w="1949"/>
            <w:shd w:fill="DCEAF7"/>
            <w:tcMar>
              <w:top w:w="80" w:type="dxa"/>
              <w:start w:w="90" w:type="dxa"/>
              <w:bottom w:w="80" w:type="dxa"/>
              <w:end w:w="90" w:type="dxa"/>
            </w:tcMar>
          </w:tcPr>
          <w:p>
            <w:r>
              <w:rPr>
                <w:b/>
              </w:rPr>
              <w:t>Pros</w:t>
            </w:r>
          </w:p>
        </w:tc>
        <w:tc>
          <w:tcPr>
            <w:tcW w:type="dxa" w:w="1949"/>
            <w:shd w:fill="DCEAF7"/>
            <w:tcMar>
              <w:top w:w="80" w:type="dxa"/>
              <w:start w:w="90" w:type="dxa"/>
              <w:bottom w:w="80" w:type="dxa"/>
              <w:end w:w="90" w:type="dxa"/>
            </w:tcMar>
          </w:tcPr>
          <w:p>
            <w:r>
              <w:rPr>
                <w:b/>
              </w:rPr>
              <w:t>Cons</w:t>
            </w:r>
          </w:p>
        </w:tc>
        <w:tc>
          <w:tcPr>
            <w:tcW w:type="dxa" w:w="1949"/>
            <w:shd w:fill="DCEAF7"/>
            <w:tcMar>
              <w:top w:w="80" w:type="dxa"/>
              <w:start w:w="90" w:type="dxa"/>
              <w:bottom w:w="80" w:type="dxa"/>
              <w:end w:w="90" w:type="dxa"/>
            </w:tcMar>
          </w:tcPr>
          <w:p>
            <w:r>
              <w:rPr>
                <w:b/>
              </w:rPr>
              <w:t>Best use</w:t>
            </w:r>
          </w:p>
        </w:tc>
      </w:tr>
      <w:tr>
        <w:tc>
          <w:tcPr>
            <w:tcW w:type="dxa" w:w="1949"/>
            <w:tcMar>
              <w:top w:w="80" w:type="dxa"/>
              <w:start w:w="90" w:type="dxa"/>
              <w:bottom w:w="80" w:type="dxa"/>
              <w:end w:w="90" w:type="dxa"/>
            </w:tcMar>
          </w:tcPr>
          <w:p>
            <w:r>
              <w:t>Class prototype replacement</w:t>
            </w:r>
          </w:p>
        </w:tc>
        <w:tc>
          <w:tcPr>
            <w:tcW w:type="dxa" w:w="1949"/>
            <w:tcMar>
              <w:top w:w="80" w:type="dxa"/>
              <w:start w:w="90" w:type="dxa"/>
              <w:bottom w:w="80" w:type="dxa"/>
              <w:end w:w="90" w:type="dxa"/>
            </w:tcMar>
          </w:tcPr>
          <w:p>
            <w:r>
              <w:t>Use the class prototype of the corrupted party for y_i</w:t>
            </w:r>
          </w:p>
        </w:tc>
        <w:tc>
          <w:tcPr>
            <w:tcW w:type="dxa" w:w="1949"/>
            <w:tcMar>
              <w:top w:w="80" w:type="dxa"/>
              <w:start w:w="90" w:type="dxa"/>
              <w:bottom w:w="80" w:type="dxa"/>
              <w:end w:w="90" w:type="dxa"/>
            </w:tcMar>
          </w:tcPr>
          <w:p>
            <w:r>
              <w:t>Very simple; strong baseline; easy to explain</w:t>
            </w:r>
          </w:p>
        </w:tc>
        <w:tc>
          <w:tcPr>
            <w:tcW w:type="dxa" w:w="1949"/>
            <w:tcMar>
              <w:top w:w="80" w:type="dxa"/>
              <w:start w:w="90" w:type="dxa"/>
              <w:bottom w:w="80" w:type="dxa"/>
              <w:end w:w="90" w:type="dxa"/>
            </w:tcMar>
          </w:tcPr>
          <w:p>
            <w:r>
              <w:t>Too coarse; may underfit sample-specific details</w:t>
            </w:r>
          </w:p>
        </w:tc>
        <w:tc>
          <w:tcPr>
            <w:tcW w:type="dxa" w:w="1949"/>
            <w:tcMar>
              <w:top w:w="80" w:type="dxa"/>
              <w:start w:w="90" w:type="dxa"/>
              <w:bottom w:w="80" w:type="dxa"/>
              <w:end w:w="90" w:type="dxa"/>
            </w:tcMar>
          </w:tcPr>
          <w:p>
            <w:r>
              <w:t>Low-dimensional or easy datasets</w:t>
            </w:r>
          </w:p>
        </w:tc>
      </w:tr>
      <w:tr>
        <w:tc>
          <w:tcPr>
            <w:tcW w:type="dxa" w:w="1949"/>
            <w:tcMar>
              <w:top w:w="80" w:type="dxa"/>
              <w:start w:w="90" w:type="dxa"/>
              <w:bottom w:w="80" w:type="dxa"/>
              <w:end w:w="90" w:type="dxa"/>
            </w:tcMar>
          </w:tcPr>
          <w:p>
            <w:r>
              <w:t>Nearest-neighbor retrieval from reference bank</w:t>
            </w:r>
          </w:p>
        </w:tc>
        <w:tc>
          <w:tcPr>
            <w:tcW w:type="dxa" w:w="1949"/>
            <w:tcMar>
              <w:top w:w="80" w:type="dxa"/>
              <w:start w:w="90" w:type="dxa"/>
              <w:bottom w:w="80" w:type="dxa"/>
              <w:end w:w="90" w:type="dxa"/>
            </w:tcMar>
          </w:tcPr>
          <w:p>
            <w:r>
              <w:t>Pick reference embedding from same class nearest to honest-view condition</w:t>
            </w:r>
          </w:p>
        </w:tc>
        <w:tc>
          <w:tcPr>
            <w:tcW w:type="dxa" w:w="1949"/>
            <w:tcMar>
              <w:top w:w="80" w:type="dxa"/>
              <w:start w:w="90" w:type="dxa"/>
              <w:bottom w:w="80" w:type="dxa"/>
              <w:end w:w="90" w:type="dxa"/>
            </w:tcMar>
          </w:tcPr>
          <w:p>
            <w:r>
              <w:t>More adaptive than a fixed prototype</w:t>
            </w:r>
          </w:p>
        </w:tc>
        <w:tc>
          <w:tcPr>
            <w:tcW w:type="dxa" w:w="1949"/>
            <w:tcMar>
              <w:top w:w="80" w:type="dxa"/>
              <w:start w:w="90" w:type="dxa"/>
              <w:bottom w:w="80" w:type="dxa"/>
              <w:end w:w="90" w:type="dxa"/>
            </w:tcMar>
          </w:tcPr>
          <w:p>
            <w:r>
              <w:t>Needs memory search; may copy noise from anchors</w:t>
            </w:r>
          </w:p>
        </w:tc>
        <w:tc>
          <w:tcPr>
            <w:tcW w:type="dxa" w:w="1949"/>
            <w:tcMar>
              <w:top w:w="80" w:type="dxa"/>
              <w:start w:w="90" w:type="dxa"/>
              <w:bottom w:w="80" w:type="dxa"/>
              <w:end w:w="90" w:type="dxa"/>
            </w:tcMar>
          </w:tcPr>
          <w:p>
            <w:r>
              <w:t>Medium-size reference bank</w:t>
            </w:r>
          </w:p>
        </w:tc>
      </w:tr>
      <w:tr>
        <w:tc>
          <w:tcPr>
            <w:tcW w:type="dxa" w:w="1949"/>
            <w:tcMar>
              <w:top w:w="80" w:type="dxa"/>
              <w:start w:w="90" w:type="dxa"/>
              <w:bottom w:w="80" w:type="dxa"/>
              <w:end w:w="90" w:type="dxa"/>
            </w:tcMar>
          </w:tcPr>
          <w:p>
            <w:r>
              <w:t>Conditional reconstructor g(h_honest, y)</w:t>
            </w:r>
          </w:p>
        </w:tc>
        <w:tc>
          <w:tcPr>
            <w:tcW w:type="dxa" w:w="1949"/>
            <w:tcMar>
              <w:top w:w="80" w:type="dxa"/>
              <w:start w:w="90" w:type="dxa"/>
              <w:bottom w:w="80" w:type="dxa"/>
              <w:end w:w="90" w:type="dxa"/>
            </w:tcMar>
          </w:tcPr>
          <w:p>
            <w:r>
              <w:t>Small MLP predicts corrupted embedding from honest one and label</w:t>
            </w:r>
          </w:p>
        </w:tc>
        <w:tc>
          <w:tcPr>
            <w:tcW w:type="dxa" w:w="1949"/>
            <w:tcMar>
              <w:top w:w="80" w:type="dxa"/>
              <w:start w:w="90" w:type="dxa"/>
              <w:bottom w:w="80" w:type="dxa"/>
              <w:end w:w="90" w:type="dxa"/>
            </w:tcMar>
          </w:tcPr>
          <w:p>
            <w:r>
              <w:t>Fully differentiable; sample-specific; strong utility potential</w:t>
            </w:r>
          </w:p>
        </w:tc>
        <w:tc>
          <w:tcPr>
            <w:tcW w:type="dxa" w:w="1949"/>
            <w:tcMar>
              <w:top w:w="80" w:type="dxa"/>
              <w:start w:w="90" w:type="dxa"/>
              <w:bottom w:w="80" w:type="dxa"/>
              <w:end w:w="90" w:type="dxa"/>
            </w:tcMar>
          </w:tcPr>
          <w:p>
            <w:r>
              <w:t>Needs clean paired data for training; adds complexity</w:t>
            </w:r>
          </w:p>
        </w:tc>
        <w:tc>
          <w:tcPr>
            <w:tcW w:type="dxa" w:w="1949"/>
            <w:tcMar>
              <w:top w:w="80" w:type="dxa"/>
              <w:start w:w="90" w:type="dxa"/>
              <w:bottom w:w="80" w:type="dxa"/>
              <w:end w:w="90" w:type="dxa"/>
            </w:tcMar>
          </w:tcPr>
          <w:p>
            <w:r>
              <w:t>Best default sophisticated option</w:t>
            </w:r>
          </w:p>
        </w:tc>
      </w:tr>
      <w:tr>
        <w:tc>
          <w:tcPr>
            <w:tcW w:type="dxa" w:w="1949"/>
            <w:tcMar>
              <w:top w:w="80" w:type="dxa"/>
              <w:start w:w="90" w:type="dxa"/>
              <w:bottom w:w="80" w:type="dxa"/>
              <w:end w:w="90" w:type="dxa"/>
            </w:tcMar>
          </w:tcPr>
          <w:p>
            <w:r>
              <w:t>Mixture-of-prototypes reconstruction</w:t>
            </w:r>
          </w:p>
        </w:tc>
        <w:tc>
          <w:tcPr>
            <w:tcW w:type="dxa" w:w="1949"/>
            <w:tcMar>
              <w:top w:w="80" w:type="dxa"/>
              <w:start w:w="90" w:type="dxa"/>
              <w:bottom w:w="80" w:type="dxa"/>
              <w:end w:w="90" w:type="dxa"/>
            </w:tcMar>
          </w:tcPr>
          <w:p>
            <w:r>
              <w:t>Predict convex combination of several class-local anchors</w:t>
            </w:r>
          </w:p>
        </w:tc>
        <w:tc>
          <w:tcPr>
            <w:tcW w:type="dxa" w:w="1949"/>
            <w:tcMar>
              <w:top w:w="80" w:type="dxa"/>
              <w:start w:w="90" w:type="dxa"/>
              <w:bottom w:w="80" w:type="dxa"/>
              <w:end w:w="90" w:type="dxa"/>
            </w:tcMar>
          </w:tcPr>
          <w:p>
            <w:r>
              <w:t>More flexible than a single prototype; still interpretable</w:t>
            </w:r>
          </w:p>
        </w:tc>
        <w:tc>
          <w:tcPr>
            <w:tcW w:type="dxa" w:w="1949"/>
            <w:tcMar>
              <w:top w:w="80" w:type="dxa"/>
              <w:start w:w="90" w:type="dxa"/>
              <w:bottom w:w="80" w:type="dxa"/>
              <w:end w:w="90" w:type="dxa"/>
            </w:tcMar>
          </w:tcPr>
          <w:p>
            <w:r>
              <w:t>More parameters and tuning</w:t>
            </w:r>
          </w:p>
        </w:tc>
        <w:tc>
          <w:tcPr>
            <w:tcW w:type="dxa" w:w="1949"/>
            <w:tcMar>
              <w:top w:w="80" w:type="dxa"/>
              <w:start w:w="90" w:type="dxa"/>
              <w:bottom w:w="80" w:type="dxa"/>
              <w:end w:w="90" w:type="dxa"/>
            </w:tcMar>
          </w:tcPr>
          <w:p>
            <w:r>
              <w:t>When one prototype is too crude</w:t>
            </w:r>
          </w:p>
        </w:tc>
      </w:tr>
      <w:tr>
        <w:tc>
          <w:tcPr>
            <w:tcW w:type="dxa" w:w="1949"/>
            <w:tcMar>
              <w:top w:w="80" w:type="dxa"/>
              <w:start w:w="90" w:type="dxa"/>
              <w:bottom w:w="80" w:type="dxa"/>
              <w:end w:w="90" w:type="dxa"/>
            </w:tcMar>
          </w:tcPr>
          <w:p>
            <w:r>
              <w:t>Teacher-student latent imputation</w:t>
            </w:r>
          </w:p>
        </w:tc>
        <w:tc>
          <w:tcPr>
            <w:tcW w:type="dxa" w:w="1949"/>
            <w:tcMar>
              <w:top w:w="80" w:type="dxa"/>
              <w:start w:w="90" w:type="dxa"/>
              <w:bottom w:w="80" w:type="dxa"/>
              <w:end w:w="90" w:type="dxa"/>
            </w:tcMar>
          </w:tcPr>
          <w:p>
            <w:r>
              <w:t>EMA teacher generates stable surrogate embedding</w:t>
            </w:r>
          </w:p>
        </w:tc>
        <w:tc>
          <w:tcPr>
            <w:tcW w:type="dxa" w:w="1949"/>
            <w:tcMar>
              <w:top w:w="80" w:type="dxa"/>
              <w:start w:w="90" w:type="dxa"/>
              <w:bottom w:w="80" w:type="dxa"/>
              <w:end w:w="90" w:type="dxa"/>
            </w:tcMar>
          </w:tcPr>
          <w:p>
            <w:r>
              <w:t>Potentially robust under noise</w:t>
            </w:r>
          </w:p>
        </w:tc>
        <w:tc>
          <w:tcPr>
            <w:tcW w:type="dxa" w:w="1949"/>
            <w:tcMar>
              <w:top w:w="80" w:type="dxa"/>
              <w:start w:w="90" w:type="dxa"/>
              <w:bottom w:w="80" w:type="dxa"/>
              <w:end w:w="90" w:type="dxa"/>
            </w:tcMar>
          </w:tcPr>
          <w:p>
            <w:r>
              <w:t>Complex and harder to justify cleanly</w:t>
            </w:r>
          </w:p>
        </w:tc>
        <w:tc>
          <w:tcPr>
            <w:tcW w:type="dxa" w:w="1949"/>
            <w:tcMar>
              <w:top w:w="80" w:type="dxa"/>
              <w:start w:w="90" w:type="dxa"/>
              <w:bottom w:w="80" w:type="dxa"/>
              <w:end w:w="90" w:type="dxa"/>
            </w:tcMar>
          </w:tcPr>
          <w:p>
            <w:r>
              <w:t>Follow-up or stronger extended version</w:t>
            </w:r>
          </w:p>
        </w:tc>
      </w:tr>
    </w:tbl>
    <w:p/>
    <w:p>
      <w:r>
        <w:t>Recommended progression: implement (1) class prototype replacement as a baseline, then (2) a conditional reconstructor as the main method. This gives both interpretability and a stronger flagship defense.</w:t>
      </w:r>
    </w:p>
    <w:p>
      <w:pPr>
        <w:pStyle w:val="Heading1"/>
      </w:pPr>
      <w:r>
        <w:t>9. A concrete main defense: Reference-Guided Attribution and Reconstruction (RGAR)</w:t>
      </w:r>
    </w:p>
    <w:p>
      <w:pPr>
        <w:pStyle w:val="Heading2"/>
      </w:pPr>
      <w:r>
        <w:t>9.1 Core algorithm</w:t>
      </w:r>
    </w:p>
    <w:p>
      <w:pPr>
        <w:ind w:left="283"/>
      </w:pPr>
      <w:r>
        <w:t>1. Initialize clean reference statistics for both parties from the trusted set.</w:t>
      </w:r>
    </w:p>
    <w:p>
      <w:pPr>
        <w:ind w:left="283"/>
      </w:pPr>
      <w:r>
        <w:t>2. During training, compute pair-level suspicion for each sample.</w:t>
      </w:r>
    </w:p>
    <w:p>
      <w:pPr>
        <w:ind w:left="283"/>
      </w:pPr>
      <w:r>
        <w:t>3. If not suspicious, train normally.</w:t>
      </w:r>
    </w:p>
    <w:p>
      <w:pPr>
        <w:ind w:left="283"/>
      </w:pPr>
      <w:r>
        <w:t>4. If suspicious, begin or continue a watch window of W rounds and log party-level evidence.</w:t>
      </w:r>
    </w:p>
    <w:p>
      <w:pPr>
        <w:ind w:left="283"/>
      </w:pPr>
      <w:r>
        <w:t>5. After W rounds, attribute the suspicious sample to party A or B using confidence-weighted majority voting.</w:t>
      </w:r>
    </w:p>
    <w:p>
      <w:pPr>
        <w:ind w:left="283"/>
      </w:pPr>
      <w:r>
        <w:t>6. Aggregate across suspicious samples to estimate the globally malicious party.</w:t>
      </w:r>
    </w:p>
    <w:p>
      <w:pPr>
        <w:ind w:left="283"/>
      </w:pPr>
      <w:r>
        <w:t>7. If confidence is moderate: apply trust-weighted fallback and reduce the attacker’s contribution.</w:t>
      </w:r>
    </w:p>
    <w:p>
      <w:pPr>
        <w:ind w:left="283"/>
      </w:pPr>
      <w:r>
        <w:t>8. If confidence is high: replace the suspicious attacker embedding with reconstructed surrogate ĥ_attacker and continue training.</w:t>
      </w:r>
    </w:p>
    <w:p>
      <w:pPr>
        <w:pStyle w:val="Heading2"/>
      </w:pPr>
      <w:r>
        <w:t>9.2 Recommended confidence policy</w:t>
      </w:r>
    </w:p>
    <w:tbl>
      <w:tblPr>
        <w:tblW w:type="auto" w:w="0"/>
        <w:jc w:val="center"/>
        <w:tblLook w:firstColumn="1" w:firstRow="1" w:lastColumn="0" w:lastRow="0" w:noHBand="0" w:noVBand="1" w:val="04A0"/>
        <w:tblBorders>
          <w:top w:val="single" w:sz="9" w:space="0" w:color="D0DCEB"/>
          <w:left w:val="single" w:sz="9" w:space="0" w:color="D0DCEB"/>
          <w:bottom w:val="single" w:sz="9" w:space="0" w:color="D0DCEB"/>
          <w:right w:val="single" w:sz="9" w:space="0" w:color="D0DCEB"/>
          <w:insideH w:val="single" w:sz="9" w:space="0" w:color="D0DCEB"/>
          <w:insideV w:val="single" w:sz="9" w:space="0" w:color="D0DCEB"/>
        </w:tblBorders>
      </w:tblPr>
      <w:tblGrid>
        <w:gridCol w:w="3249"/>
        <w:gridCol w:w="3249"/>
        <w:gridCol w:w="3249"/>
      </w:tblGrid>
      <w:tr>
        <w:tc>
          <w:tcPr>
            <w:tcW w:type="dxa" w:w="3249"/>
            <w:shd w:fill="EAF0F8"/>
            <w:tcMar>
              <w:top w:w="80" w:type="dxa"/>
              <w:start w:w="90" w:type="dxa"/>
              <w:bottom w:w="80" w:type="dxa"/>
              <w:end w:w="90" w:type="dxa"/>
            </w:tcMar>
          </w:tcPr>
          <w:p>
            <w:r>
              <w:rPr>
                <w:b/>
              </w:rPr>
              <w:t>Confidence band</w:t>
            </w:r>
          </w:p>
        </w:tc>
        <w:tc>
          <w:tcPr>
            <w:tcW w:type="dxa" w:w="3249"/>
            <w:shd w:fill="EAF0F8"/>
            <w:tcMar>
              <w:top w:w="80" w:type="dxa"/>
              <w:start w:w="90" w:type="dxa"/>
              <w:bottom w:w="80" w:type="dxa"/>
              <w:end w:w="90" w:type="dxa"/>
            </w:tcMar>
          </w:tcPr>
          <w:p>
            <w:r>
              <w:rPr>
                <w:b/>
              </w:rPr>
              <w:t>Action</w:t>
            </w:r>
          </w:p>
        </w:tc>
        <w:tc>
          <w:tcPr>
            <w:tcW w:type="dxa" w:w="3249"/>
            <w:shd w:fill="EAF0F8"/>
            <w:tcMar>
              <w:top w:w="80" w:type="dxa"/>
              <w:start w:w="90" w:type="dxa"/>
              <w:bottom w:w="80" w:type="dxa"/>
              <w:end w:w="90" w:type="dxa"/>
            </w:tcMar>
          </w:tcPr>
          <w:p>
            <w:r>
              <w:rPr>
                <w:b/>
              </w:rPr>
              <w:t>Reason</w:t>
            </w:r>
          </w:p>
        </w:tc>
      </w:tr>
      <w:tr>
        <w:tc>
          <w:tcPr>
            <w:tcW w:type="dxa" w:w="3249"/>
            <w:tcMar>
              <w:top w:w="80" w:type="dxa"/>
              <w:start w:w="90" w:type="dxa"/>
              <w:bottom w:w="80" w:type="dxa"/>
              <w:end w:w="90" w:type="dxa"/>
            </w:tcMar>
          </w:tcPr>
          <w:p>
            <w:r>
              <w:t>Low</w:t>
            </w:r>
          </w:p>
        </w:tc>
        <w:tc>
          <w:tcPr>
            <w:tcW w:type="dxa" w:w="3249"/>
            <w:tcMar>
              <w:top w:w="80" w:type="dxa"/>
              <w:start w:w="90" w:type="dxa"/>
              <w:bottom w:w="80" w:type="dxa"/>
              <w:end w:w="90" w:type="dxa"/>
            </w:tcMar>
          </w:tcPr>
          <w:p>
            <w:r>
              <w:t>Keep observing; no aggressive mitigation</w:t>
            </w:r>
          </w:p>
        </w:tc>
        <w:tc>
          <w:tcPr>
            <w:tcW w:type="dxa" w:w="3249"/>
            <w:tcMar>
              <w:top w:w="80" w:type="dxa"/>
              <w:start w:w="90" w:type="dxa"/>
              <w:bottom w:w="80" w:type="dxa"/>
              <w:end w:w="90" w:type="dxa"/>
            </w:tcMar>
          </w:tcPr>
          <w:p>
            <w:r>
              <w:t>Avoid punishing hard but benign samples</w:t>
            </w:r>
          </w:p>
        </w:tc>
      </w:tr>
      <w:tr>
        <w:tc>
          <w:tcPr>
            <w:tcW w:type="dxa" w:w="3249"/>
            <w:tcMar>
              <w:top w:w="80" w:type="dxa"/>
              <w:start w:w="90" w:type="dxa"/>
              <w:bottom w:w="80" w:type="dxa"/>
              <w:end w:w="90" w:type="dxa"/>
            </w:tcMar>
          </w:tcPr>
          <w:p>
            <w:r>
              <w:t>Medium</w:t>
            </w:r>
          </w:p>
        </w:tc>
        <w:tc>
          <w:tcPr>
            <w:tcW w:type="dxa" w:w="3249"/>
            <w:tcMar>
              <w:top w:w="80" w:type="dxa"/>
              <w:start w:w="90" w:type="dxa"/>
              <w:bottom w:w="80" w:type="dxa"/>
              <w:end w:w="90" w:type="dxa"/>
            </w:tcMar>
          </w:tcPr>
          <w:p>
            <w:r>
              <w:t>Apply soft downweighting and honest-path fallback</w:t>
            </w:r>
          </w:p>
        </w:tc>
        <w:tc>
          <w:tcPr>
            <w:tcW w:type="dxa" w:w="3249"/>
            <w:tcMar>
              <w:top w:w="80" w:type="dxa"/>
              <w:start w:w="90" w:type="dxa"/>
              <w:bottom w:w="80" w:type="dxa"/>
              <w:end w:w="90" w:type="dxa"/>
            </w:tcMar>
          </w:tcPr>
          <w:p>
            <w:r>
              <w:t>Safe partial response while uncertainty remains</w:t>
            </w:r>
          </w:p>
        </w:tc>
      </w:tr>
      <w:tr>
        <w:tc>
          <w:tcPr>
            <w:tcW w:type="dxa" w:w="3249"/>
            <w:tcMar>
              <w:top w:w="80" w:type="dxa"/>
              <w:start w:w="90" w:type="dxa"/>
              <w:bottom w:w="80" w:type="dxa"/>
              <w:end w:w="90" w:type="dxa"/>
            </w:tcMar>
          </w:tcPr>
          <w:p>
            <w:r>
              <w:t>High</w:t>
            </w:r>
          </w:p>
        </w:tc>
        <w:tc>
          <w:tcPr>
            <w:tcW w:type="dxa" w:w="3249"/>
            <w:tcMar>
              <w:top w:w="80" w:type="dxa"/>
              <w:start w:w="90" w:type="dxa"/>
              <w:bottom w:w="80" w:type="dxa"/>
              <w:end w:w="90" w:type="dxa"/>
            </w:tcMar>
          </w:tcPr>
          <w:p>
            <w:r>
              <w:t>Full reconstruction / replacement of attacker embedding</w:t>
            </w:r>
          </w:p>
        </w:tc>
        <w:tc>
          <w:tcPr>
            <w:tcW w:type="dxa" w:w="3249"/>
            <w:tcMar>
              <w:top w:w="80" w:type="dxa"/>
              <w:start w:w="90" w:type="dxa"/>
              <w:bottom w:w="80" w:type="dxa"/>
              <w:end w:w="90" w:type="dxa"/>
            </w:tcMar>
          </w:tcPr>
          <w:p>
            <w:r>
              <w:t>Best chance to preserve utility once attribution is reliable</w:t>
            </w:r>
          </w:p>
        </w:tc>
      </w:tr>
    </w:tbl>
    <w:p/>
    <w:p>
      <w:pPr>
        <w:pStyle w:val="Heading1"/>
      </w:pPr>
      <w:r>
        <w:t>10. Important alternatives and refinements</w:t>
      </w:r>
    </w:p>
    <w:p>
      <w:pPr>
        <w:pStyle w:val="Heading2"/>
      </w:pPr>
      <w:r>
        <w:t>10.1 How to compute the residual term e_resid^k</w:t>
      </w:r>
    </w:p>
    <w:p>
      <w:pPr>
        <w:ind w:left="340"/>
      </w:pPr>
      <w:r>
        <w:t>• Leave-one-party-out fusion: measure how much the mismatch reduces when one party is replaced by its clean prototype.</w:t>
      </w:r>
    </w:p>
    <w:p>
      <w:pPr>
        <w:ind w:left="340"/>
      </w:pPr>
      <w:r>
        <w:t>• Counterfactual replacement: compare server loss when A is repaired versus when B is repaired; whichever yields larger loss reduction is more suspicious.</w:t>
      </w:r>
    </w:p>
    <w:p>
      <w:pPr>
        <w:pStyle w:val="Heading2"/>
      </w:pPr>
      <w:r>
        <w:t>10.2 How to set the watch window W</w:t>
      </w:r>
    </w:p>
    <w:p>
      <w:pPr>
        <w:ind w:left="340"/>
      </w:pPr>
      <w:r>
        <w:t>• Fixed W is simplest.</w:t>
      </w:r>
    </w:p>
    <w:p>
      <w:pPr>
        <w:ind w:left="340"/>
      </w:pPr>
      <w:r>
        <w:t>• Adaptive W is stronger: end early if the posterior over attacker identity becomes confident enough.</w:t>
      </w:r>
    </w:p>
    <w:p>
      <w:pPr>
        <w:pStyle w:val="Heading2"/>
      </w:pPr>
      <w:r>
        <w:t>10.3 How to train the reconstructor</w:t>
      </w:r>
    </w:p>
    <w:p>
      <w:pPr>
        <w:ind w:left="340"/>
      </w:pPr>
      <w:r>
        <w:t>• Train only on the clean reference set if you want maximum trust.</w:t>
      </w:r>
    </w:p>
    <w:p>
      <w:pPr>
        <w:ind w:left="340"/>
      </w:pPr>
      <w:r>
        <w:t>• Or train on an early-clean prefix of the training process, then freeze the reconstructor before attacks intensify.</w:t>
      </w:r>
    </w:p>
    <w:p>
      <w:pPr>
        <w:pStyle w:val="Heading2"/>
      </w:pPr>
      <w:r>
        <w:t>10.4 How to avoid overfitting to the reference set</w:t>
      </w:r>
    </w:p>
    <w:p>
      <w:pPr>
        <w:ind w:left="340"/>
      </w:pPr>
      <w:r>
        <w:t>• Use prototypes and covariance rather than memorizing raw samples only.</w:t>
      </w:r>
    </w:p>
    <w:p>
      <w:pPr>
        <w:ind w:left="340"/>
      </w:pPr>
      <w:r>
        <w:t>• Refresh statistics slowly with high-confidence clean samples, not with all samples.</w:t>
      </w:r>
    </w:p>
    <w:p>
      <w:pPr>
        <w:pStyle w:val="Heading1"/>
      </w:pPr>
      <w:r>
        <w:t>11. Failure modes to acknowledge honestly</w:t>
      </w:r>
    </w:p>
    <w:p>
      <w:pPr>
        <w:ind w:left="340"/>
      </w:pPr>
      <w:r>
        <w:t>• If the honest view is weakly informative, fallback to the honest path may still lose substantial accuracy.</w:t>
      </w:r>
    </w:p>
    <w:p>
      <w:pPr>
        <w:ind w:left="340"/>
      </w:pPr>
      <w:r>
        <w:t>• Attribution can be wrong when the reference set is tiny, unrepresentative, or stale.</w:t>
      </w:r>
    </w:p>
    <w:p>
      <w:pPr>
        <w:ind w:left="340"/>
      </w:pPr>
      <w:r>
        <w:t>• Prototype replacement may be too coarse for high-variance classes.</w:t>
      </w:r>
    </w:p>
    <w:p>
      <w:pPr>
        <w:ind w:left="340"/>
      </w:pPr>
      <w:r>
        <w:t>• If the attacker slowly drifts instead of making sharper swaps, temporal evidence becomes weaker; then prototype and gradient evidence matter more.</w:t>
      </w:r>
    </w:p>
    <w:p>
      <w:pPr>
        <w:ind w:left="340"/>
      </w:pPr>
      <w:r>
        <w:t>• In the strictest threat model, storing reference embeddings from both parties may itself need to be justified as a trusted server capability.</w:t>
      </w:r>
    </w:p>
    <w:p>
      <w:pPr>
        <w:pStyle w:val="Heading1"/>
      </w:pPr>
      <w:r>
        <w:t>12. Clean experimental plan</w:t>
      </w:r>
    </w:p>
    <w:tbl>
      <w:tblPr>
        <w:tblW w:type="auto" w:w="0"/>
        <w:jc w:val="center"/>
        <w:tblLook w:firstColumn="1" w:firstRow="1" w:lastColumn="0" w:lastRow="0" w:noHBand="0" w:noVBand="1" w:val="04A0"/>
        <w:tblBorders>
          <w:top w:val="single" w:sz="9" w:space="0" w:color="C7D6EA"/>
          <w:left w:val="single" w:sz="9" w:space="0" w:color="C7D6EA"/>
          <w:bottom w:val="single" w:sz="9" w:space="0" w:color="C7D6EA"/>
          <w:right w:val="single" w:sz="9" w:space="0" w:color="C7D6EA"/>
          <w:insideH w:val="single" w:sz="9" w:space="0" w:color="C7D6EA"/>
          <w:insideV w:val="single" w:sz="9" w:space="0" w:color="C7D6EA"/>
        </w:tblBorders>
      </w:tblPr>
      <w:tblGrid>
        <w:gridCol w:w="2436"/>
        <w:gridCol w:w="2436"/>
        <w:gridCol w:w="2436"/>
        <w:gridCol w:w="2436"/>
      </w:tblGrid>
      <w:tr>
        <w:tc>
          <w:tcPr>
            <w:tcW w:type="dxa" w:w="2436"/>
            <w:shd w:fill="DCEAF7"/>
            <w:tcMar>
              <w:top w:w="80" w:type="dxa"/>
              <w:start w:w="90" w:type="dxa"/>
              <w:bottom w:w="80" w:type="dxa"/>
              <w:end w:w="90" w:type="dxa"/>
            </w:tcMar>
          </w:tcPr>
          <w:p>
            <w:r>
              <w:rPr>
                <w:b/>
              </w:rPr>
              <w:t>Experiment</w:t>
            </w:r>
          </w:p>
        </w:tc>
        <w:tc>
          <w:tcPr>
            <w:tcW w:type="dxa" w:w="2436"/>
            <w:shd w:fill="DCEAF7"/>
            <w:tcMar>
              <w:top w:w="80" w:type="dxa"/>
              <w:start w:w="90" w:type="dxa"/>
              <w:bottom w:w="80" w:type="dxa"/>
              <w:end w:w="90" w:type="dxa"/>
            </w:tcMar>
          </w:tcPr>
          <w:p>
            <w:r>
              <w:rPr>
                <w:b/>
              </w:rPr>
              <w:t>Compare against</w:t>
            </w:r>
          </w:p>
        </w:tc>
        <w:tc>
          <w:tcPr>
            <w:tcW w:type="dxa" w:w="2436"/>
            <w:shd w:fill="DCEAF7"/>
            <w:tcMar>
              <w:top w:w="80" w:type="dxa"/>
              <w:start w:w="90" w:type="dxa"/>
              <w:bottom w:w="80" w:type="dxa"/>
              <w:end w:w="90" w:type="dxa"/>
            </w:tcMar>
          </w:tcPr>
          <w:p>
            <w:r>
              <w:rPr>
                <w:b/>
              </w:rPr>
              <w:t>Main metric</w:t>
            </w:r>
          </w:p>
        </w:tc>
        <w:tc>
          <w:tcPr>
            <w:tcW w:type="dxa" w:w="2436"/>
            <w:shd w:fill="DCEAF7"/>
            <w:tcMar>
              <w:top w:w="80" w:type="dxa"/>
              <w:start w:w="90" w:type="dxa"/>
              <w:bottom w:w="80" w:type="dxa"/>
              <w:end w:w="90" w:type="dxa"/>
            </w:tcMar>
          </w:tcPr>
          <w:p>
            <w:r>
              <w:rPr>
                <w:b/>
              </w:rPr>
              <w:t>Why it matters</w:t>
            </w:r>
          </w:p>
        </w:tc>
      </w:tr>
      <w:tr>
        <w:tc>
          <w:tcPr>
            <w:tcW w:type="dxa" w:w="2436"/>
            <w:tcMar>
              <w:top w:w="80" w:type="dxa"/>
              <w:start w:w="90" w:type="dxa"/>
              <w:bottom w:w="80" w:type="dxa"/>
              <w:end w:w="90" w:type="dxa"/>
            </w:tcMar>
          </w:tcPr>
          <w:p>
            <w:r>
              <w:t>Detection only vs RGAR</w:t>
            </w:r>
          </w:p>
        </w:tc>
        <w:tc>
          <w:tcPr>
            <w:tcW w:type="dxa" w:w="2436"/>
            <w:tcMar>
              <w:top w:w="80" w:type="dxa"/>
              <w:start w:w="90" w:type="dxa"/>
              <w:bottom w:w="80" w:type="dxa"/>
              <w:end w:w="90" w:type="dxa"/>
            </w:tcMar>
          </w:tcPr>
          <w:p>
            <w:r>
              <w:t>Current SOTA detectors</w:t>
            </w:r>
          </w:p>
        </w:tc>
        <w:tc>
          <w:tcPr>
            <w:tcW w:type="dxa" w:w="2436"/>
            <w:tcMar>
              <w:top w:w="80" w:type="dxa"/>
              <w:start w:w="90" w:type="dxa"/>
              <w:bottom w:w="80" w:type="dxa"/>
              <w:end w:w="90" w:type="dxa"/>
            </w:tcMar>
          </w:tcPr>
          <w:p>
            <w:r>
              <w:t>Post-attack clean accuracy</w:t>
            </w:r>
          </w:p>
        </w:tc>
        <w:tc>
          <w:tcPr>
            <w:tcW w:type="dxa" w:w="2436"/>
            <w:tcMar>
              <w:top w:w="80" w:type="dxa"/>
              <w:start w:w="90" w:type="dxa"/>
              <w:bottom w:w="80" w:type="dxa"/>
              <w:end w:w="90" w:type="dxa"/>
            </w:tcMar>
          </w:tcPr>
          <w:p>
            <w:r>
              <w:t>Shows survival, not just detection</w:t>
            </w:r>
          </w:p>
        </w:tc>
      </w:tr>
      <w:tr>
        <w:tc>
          <w:tcPr>
            <w:tcW w:type="dxa" w:w="2436"/>
            <w:tcMar>
              <w:top w:w="80" w:type="dxa"/>
              <w:start w:w="90" w:type="dxa"/>
              <w:bottom w:w="80" w:type="dxa"/>
              <w:end w:w="90" w:type="dxa"/>
            </w:tcMar>
          </w:tcPr>
          <w:p>
            <w:r>
              <w:t>Downweight-only vs reconstruction</w:t>
            </w:r>
          </w:p>
        </w:tc>
        <w:tc>
          <w:tcPr>
            <w:tcW w:type="dxa" w:w="2436"/>
            <w:tcMar>
              <w:top w:w="80" w:type="dxa"/>
              <w:start w:w="90" w:type="dxa"/>
              <w:bottom w:w="80" w:type="dxa"/>
              <w:end w:w="90" w:type="dxa"/>
            </w:tcMar>
          </w:tcPr>
          <w:p>
            <w:r>
              <w:t>Two branches of your method</w:t>
            </w:r>
          </w:p>
        </w:tc>
        <w:tc>
          <w:tcPr>
            <w:tcW w:type="dxa" w:w="2436"/>
            <w:tcMar>
              <w:top w:w="80" w:type="dxa"/>
              <w:start w:w="90" w:type="dxa"/>
              <w:bottom w:w="80" w:type="dxa"/>
              <w:end w:w="90" w:type="dxa"/>
            </w:tcMar>
          </w:tcPr>
          <w:p>
            <w:r>
              <w:t>Recovery gap over undefended attack</w:t>
            </w:r>
          </w:p>
        </w:tc>
        <w:tc>
          <w:tcPr>
            <w:tcW w:type="dxa" w:w="2436"/>
            <w:tcMar>
              <w:top w:w="80" w:type="dxa"/>
              <w:start w:w="90" w:type="dxa"/>
              <w:bottom w:w="80" w:type="dxa"/>
              <w:end w:w="90" w:type="dxa"/>
            </w:tcMar>
          </w:tcPr>
          <w:p>
            <w:r>
              <w:t>Shows whether reconstruction is worth the complexity</w:t>
            </w:r>
          </w:p>
        </w:tc>
      </w:tr>
      <w:tr>
        <w:tc>
          <w:tcPr>
            <w:tcW w:type="dxa" w:w="2436"/>
            <w:tcMar>
              <w:top w:w="80" w:type="dxa"/>
              <w:start w:w="90" w:type="dxa"/>
              <w:bottom w:w="80" w:type="dxa"/>
              <w:end w:w="90" w:type="dxa"/>
            </w:tcMar>
          </w:tcPr>
          <w:p>
            <w:r>
              <w:t>Prototype vs reconstructor repair</w:t>
            </w:r>
          </w:p>
        </w:tc>
        <w:tc>
          <w:tcPr>
            <w:tcW w:type="dxa" w:w="2436"/>
            <w:tcMar>
              <w:top w:w="80" w:type="dxa"/>
              <w:start w:w="90" w:type="dxa"/>
              <w:bottom w:w="80" w:type="dxa"/>
              <w:end w:w="90" w:type="dxa"/>
            </w:tcMar>
          </w:tcPr>
          <w:p>
            <w:r>
              <w:t>Alternative repair modules</w:t>
            </w:r>
          </w:p>
        </w:tc>
        <w:tc>
          <w:tcPr>
            <w:tcW w:type="dxa" w:w="2436"/>
            <w:tcMar>
              <w:top w:w="80" w:type="dxa"/>
              <w:start w:w="90" w:type="dxa"/>
              <w:bottom w:w="80" w:type="dxa"/>
              <w:end w:w="90" w:type="dxa"/>
            </w:tcMar>
          </w:tcPr>
          <w:p>
            <w:r>
              <w:t>Defended accuracy and stability</w:t>
            </w:r>
          </w:p>
        </w:tc>
        <w:tc>
          <w:tcPr>
            <w:tcW w:type="dxa" w:w="2436"/>
            <w:tcMar>
              <w:top w:w="80" w:type="dxa"/>
              <w:start w:w="90" w:type="dxa"/>
              <w:bottom w:w="80" w:type="dxa"/>
              <w:end w:w="90" w:type="dxa"/>
            </w:tcMar>
          </w:tcPr>
          <w:p>
            <w:r>
              <w:t>Identifies the best repair mechanism</w:t>
            </w:r>
          </w:p>
        </w:tc>
      </w:tr>
      <w:tr>
        <w:tc>
          <w:tcPr>
            <w:tcW w:type="dxa" w:w="2436"/>
            <w:tcMar>
              <w:top w:w="80" w:type="dxa"/>
              <w:start w:w="90" w:type="dxa"/>
              <w:bottom w:w="80" w:type="dxa"/>
              <w:end w:w="90" w:type="dxa"/>
            </w:tcMar>
          </w:tcPr>
          <w:p>
            <w:r>
              <w:t>Different watch windows W</w:t>
            </w:r>
          </w:p>
        </w:tc>
        <w:tc>
          <w:tcPr>
            <w:tcW w:type="dxa" w:w="2436"/>
            <w:tcMar>
              <w:top w:w="80" w:type="dxa"/>
              <w:start w:w="90" w:type="dxa"/>
              <w:bottom w:w="80" w:type="dxa"/>
              <w:end w:w="90" w:type="dxa"/>
            </w:tcMar>
          </w:tcPr>
          <w:p>
            <w:r>
              <w:t>W = 1, 3, 5, adaptive</w:t>
            </w:r>
          </w:p>
        </w:tc>
        <w:tc>
          <w:tcPr>
            <w:tcW w:type="dxa" w:w="2436"/>
            <w:tcMar>
              <w:top w:w="80" w:type="dxa"/>
              <w:start w:w="90" w:type="dxa"/>
              <w:bottom w:w="80" w:type="dxa"/>
              <w:end w:w="90" w:type="dxa"/>
            </w:tcMar>
          </w:tcPr>
          <w:p>
            <w:r>
              <w:t>Attribution accuracy and utility</w:t>
            </w:r>
          </w:p>
        </w:tc>
        <w:tc>
          <w:tcPr>
            <w:tcW w:type="dxa" w:w="2436"/>
            <w:tcMar>
              <w:top w:w="80" w:type="dxa"/>
              <w:start w:w="90" w:type="dxa"/>
              <w:bottom w:w="80" w:type="dxa"/>
              <w:end w:w="90" w:type="dxa"/>
            </w:tcMar>
          </w:tcPr>
          <w:p>
            <w:r>
              <w:t>Shows benefit of delayed voting</w:t>
            </w:r>
          </w:p>
        </w:tc>
      </w:tr>
      <w:tr>
        <w:tc>
          <w:tcPr>
            <w:tcW w:type="dxa" w:w="2436"/>
            <w:tcMar>
              <w:top w:w="80" w:type="dxa"/>
              <w:start w:w="90" w:type="dxa"/>
              <w:bottom w:w="80" w:type="dxa"/>
              <w:end w:w="90" w:type="dxa"/>
            </w:tcMar>
          </w:tcPr>
          <w:p>
            <w:r>
              <w:t>Reference-set size ablation</w:t>
            </w:r>
          </w:p>
        </w:tc>
        <w:tc>
          <w:tcPr>
            <w:tcW w:type="dxa" w:w="2436"/>
            <w:tcMar>
              <w:top w:w="80" w:type="dxa"/>
              <w:start w:w="90" w:type="dxa"/>
              <w:bottom w:w="80" w:type="dxa"/>
              <w:end w:w="90" w:type="dxa"/>
            </w:tcMar>
          </w:tcPr>
          <w:p>
            <w:r>
              <w:t>1%, 2%, 5%</w:t>
            </w:r>
          </w:p>
        </w:tc>
        <w:tc>
          <w:tcPr>
            <w:tcW w:type="dxa" w:w="2436"/>
            <w:tcMar>
              <w:top w:w="80" w:type="dxa"/>
              <w:start w:w="90" w:type="dxa"/>
              <w:bottom w:w="80" w:type="dxa"/>
              <w:end w:w="90" w:type="dxa"/>
            </w:tcMar>
          </w:tcPr>
          <w:p>
            <w:r>
              <w:t>Defense robustness</w:t>
            </w:r>
          </w:p>
        </w:tc>
        <w:tc>
          <w:tcPr>
            <w:tcW w:type="dxa" w:w="2436"/>
            <w:tcMar>
              <w:top w:w="80" w:type="dxa"/>
              <w:start w:w="90" w:type="dxa"/>
              <w:bottom w:w="80" w:type="dxa"/>
              <w:end w:w="90" w:type="dxa"/>
            </w:tcMar>
          </w:tcPr>
          <w:p>
            <w:r>
              <w:t>Answers realism concerns</w:t>
            </w:r>
          </w:p>
        </w:tc>
      </w:tr>
    </w:tbl>
    <w:p/>
    <w:p>
      <w:pPr>
        <w:pStyle w:val="Heading1"/>
      </w:pPr>
      <w:r>
        <w:t>13. Recommended positioning in the paper</w:t>
      </w:r>
    </w:p>
    <w:p>
      <w:r>
        <w:t xml:space="preserve">The strongest framing is not 'we built another detector.' It is: </w:t>
      </w:r>
    </w:p>
    <w:p>
      <w:pPr>
        <w:pStyle w:val="Callout"/>
      </w:pPr>
      <w:r>
        <w:t xml:space="preserve">In 2-party VFL, pairwise inconsistency alone cannot identify the attacker, and pure detection is insufficient because suppressing half of the representation can itself destroy utility. </w:t>
      </w:r>
      <w:r>
        <w:t>Our defense resolves this by using a clean server-held reference set for independent party scoring, delayed attacker attribution through multi-round evidence aggregation, and mitigation through fallback or representation reconstruction.</w:t>
      </w:r>
    </w:p>
    <w:p>
      <w:pPr>
        <w:pStyle w:val="Heading1"/>
      </w:pPr>
      <w:r>
        <w:t>14. Final recommendation</w:t>
      </w:r>
    </w:p>
    <w:p>
      <w:r>
        <w:t>If you want one practical path to implement first, do this in order:</w:t>
      </w:r>
    </w:p>
    <w:p>
      <w:pPr>
        <w:ind w:left="340"/>
      </w:pPr>
      <w:r>
        <w:t>1. Implement pair-level suspicion + party-level evidence scores using prototype distance, temporal drift, and gradient inconsistency.</w:t>
      </w:r>
    </w:p>
    <w:p>
      <w:pPr>
        <w:ind w:left="340"/>
      </w:pPr>
      <w:r>
        <w:t>2. Use confidence-weighted voting over a short watch window W to attribute the malicious party.</w:t>
      </w:r>
    </w:p>
    <w:p>
      <w:pPr>
        <w:ind w:left="340"/>
      </w:pPr>
      <w:r>
        <w:t>3. Add honest-path fallback with modality dropout training as your first mitigation baseline.</w:t>
      </w:r>
    </w:p>
    <w:p>
      <w:pPr>
        <w:ind w:left="340"/>
      </w:pPr>
      <w:r>
        <w:t>4. Then implement a small conditional reconstructor g(h_honest, y) as the main repair module.</w:t>
      </w:r>
    </w:p>
    <w:p>
      <w:pPr>
        <w:ind w:left="340"/>
      </w:pPr>
      <w:r>
        <w:t>5. Report both attribution accuracy and defended clean accuracy under attack.</w:t>
      </w:r>
    </w:p>
    <w:p/>
    <w:p>
      <w:pPr>
        <w:pStyle w:val="Small"/>
        <w:jc w:val="right"/>
      </w:pPr>
      <w:r>
        <w:t>Prepared for Jarin / Arpita — defense concept refinement notes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eastAsia="Aptos"/>
      <w:b/>
      <w:bCs/>
      <w:color w:val="14365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eastAsia="Aptos"/>
      <w:b/>
      <w:bCs/>
      <w:color w:val="265786"/>
      <w:sz w:val="23"/>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Aptos" w:hAnsi="Aptos" w:eastAsia="Aptos"/>
      <w:b/>
      <w:bCs/>
      <w:color w:val="50505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ptos" w:hAnsi="Aptos" w:eastAsia="Aptos"/>
      <w:color w:val="1436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5F5F5F"/>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20"/>
      <w:ind w:left="198" w:right="113"/>
    </w:pPr>
    <w:rPr>
      <w:rFonts w:ascii="Aptos" w:hAnsi="Aptos" w:eastAsia="Aptos"/>
      <w:i/>
      <w:color w:val="3C3C3C"/>
      <w:sz w:val="20"/>
    </w:rPr>
  </w:style>
  <w:style w:type="paragraph" w:customStyle="1" w:styleId="Small">
    <w:name w:val="Small"/>
    <w:rPr>
      <w:rFonts w:ascii="Aptos" w:hAnsi="Aptos" w:eastAsia="Aptos"/>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