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85c8c41b2b7b4312" /><Relationship Type="http://schemas.openxmlformats.org/package/2006/relationships/metadata/core-properties" Target="/docProps/core.xml" Id="Rac496f676e754133" /><Relationship Type="http://schemas.openxmlformats.org/officeDocument/2006/relationships/extended-properties" Target="/docProps/app.xml" Id="R106d821e8cc5431f" /><Relationship Type="http://schemas.openxmlformats.org/officeDocument/2006/relationships/custom-properties" Target="/docProps/custom.xml" Id="R8c225ac3323349c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480"/>
        <w:jc w:val="center"/>
      </w:pPr>
      <w:r>
        <w:rPr>
          <w:color w:val="C00000"/>
          <w:sz w:val="18"/>
        </w:rPr>
        <w:t xml:space="preserve">CONFIDENTIAL — INTERNAL STRATEGY BRIEFING</w:t>
      </w:r>
    </w:p>
    <w:p w14:paraId="00100002" w14:textId="00100003">
      <w:pPr>
        <w:pStyle w:val="Title"/>
        <w:spacing w:after="160"/>
        <w:jc w:val="center"/>
      </w:pPr>
      <w:r>
        <w:rPr>
          <w:rFonts w:ascii="Cambria" w:hAnsi="Cambria" w:eastAsia="Cambria"/>
          <w:b/>
          <w:sz w:val="64"/>
        </w:rPr>
        <w:t xml:space="preserve">AI in CRM: The Agentic Shift</w:t>
      </w:r>
    </w:p>
    <w:p w14:paraId="00100004" w14:textId="00100005">
      <w:pPr>
        <w:spacing w:after="720"/>
        <w:jc w:val="center"/>
      </w:pPr>
      <w:r>
        <w:rPr>
          <w:i/>
          <w:sz w:val="30"/>
        </w:rPr>
        <w:t xml:space="preserve">Enterprise Implications, Analyst Findings, and a Vitamins-vs-Painkillers Feature Framework for CRM AI</w:t>
      </w:r>
    </w:p>
    <w:p w14:paraId="00100006" w14:textId="00100007">
      <w:pPr>
        <w:jc w:val="center"/>
      </w:pPr>
      <w:r>
        <w:rPr>
          <w:sz w:val="22"/>
        </w:rPr>
        <w:t xml:space="preserve">Prepared for: Boutinly Leadership</w:t>
      </w:r>
    </w:p>
    <w:p w14:paraId="00100008" w14:textId="00100009">
      <w:pPr>
        <w:jc w:val="center"/>
      </w:pPr>
      <w:r>
        <w:rPr>
          <w:sz w:val="22"/>
        </w:rPr>
        <w:t xml:space="preserve">Prepared by: Fizz — Research &amp; Strategy</w:t>
      </w:r>
    </w:p>
    <w:p w14:paraId="0010000A" w14:textId="00100110">
      <w:pPr>
        <w:spacing w:after="720"/>
        <w:jc w:val="center"/>
      </w:pPr>
      <w:r>
        <w:rPr>
          <w:i/>
          <w:sz w:val="20"/>
        </w:rPr>
        <w:t xml:space="preserve">Date: August 2, 2026 | Companion to: Boutinly Enterprise CRM Market Research &amp; Product Blueprint</w:t>
      </w:r>
    </w:p>
    <w:p w14:paraId="0010000C" w14:textId="0010000D">
      <w:pPr>
        <w:jc w:val="center"/>
      </w:pPr>
      <w:r>
        <w:rPr>
          <w:i/>
          <w:sz w:val="20"/>
        </w:rPr>
        <w:t xml:space="preserve">Key themes: 1) the copilot-to-agent transition, 2) analyst consensus on value and the governance gap, 3) a vitamins-vs-painkillers framework for prioritizing AI features, 4) a sequenced enterprise-tier roadmap for Boutinly.</w:t>
      </w:r>
    </w:p>
    <w:p w14:paraId="0010010C" w14:textId="0010010D">
      <w:pPr>
        <w:pStyle w:val="TOCHeading"/>
      </w:pPr>
      <w:r>
        <w:t>Table of Contents</w:t>
      </w:r>
    </w:p>
    <w:p w14:paraId="0010010E" w14:textId="0010010F">
      <w:r>
        <w:fldChar w:fldCharType="begin"/>
      </w:r>
      <w:r>
        <w:instrText xml:space="preserve"> TOC \o "1-2" \h \u </w:instrText>
      </w:r>
      <w:r>
        <w:fldChar w:fldCharType="separate"/>
      </w:r>
      <w:r>
        <w:t xml:space="preserve">Update field to see table of contents</w:t>
      </w:r>
      <w:r>
        <w:fldChar w:fldCharType="end"/>
      </w:r>
    </w:p>
    <w:p w14:paraId="0010000E" w14:textId="0010000F">
      <w:pPr>
        <w:pStyle w:val="Heading1"/>
        <w:pageBreakBefore/>
        <w:spacing w:after="240"/>
      </w:pPr>
      <w:r>
        <w:rPr>
          <w:b/>
          <w:sz w:val="40"/>
        </w:rPr>
        <w:t xml:space="preserve">Executive Summary</w:t>
      </w:r>
    </w:p>
    <w:p w14:paraId="00100010" w14:textId="00100011">
      <w:pPr>
        <w:spacing w:after="200"/>
      </w:pPr>
      <w:r>
        <w:rPr>
          <w:sz w:val="22"/>
        </w:rPr>
        <w:t xml:space="preserve">CRM is being rebuilt around AI at a pace with few parallels in enterprise software history. The market for AI-embedded CRM capability is projected to grow from $11.04 billion in 2025 to $48.4 billion by 2033, and Gartner expects 40% of enterprise applications to embed task-specific AI agents by the end of 2026, up from under 5% at the start of the year. The center of gravity has moved from “copilot” assistants that suggest actions to “agentic” systems that qualify leads, draft outreach, resolve tickets, and update records autonomously — Salesforce’s Agentforce has already reached $540M in ARR, and HubSpot’s Breeze agents serve over 279,000 customers.</w:t>
      </w:r>
    </w:p>
    <w:p w14:paraId="00100012" w14:textId="00100013">
      <w:pPr>
        <w:spacing w:after="200"/>
      </w:pPr>
      <w:r>
        <w:rPr>
          <w:sz w:val="22"/>
        </w:rPr>
        <w:t xml:space="preserve">For enterprise buyers, this shift raises the bar in two directions at once. Analyst firms are unanimous that the value is real and material — McKinsey estimates $2.6–4.4 trillion in annual value from agentic AI across business functions — but equally unanimous that most organizations aren’t ready to capture it safely: only 21% have governance structures mature enough for autonomous agents, and Gartner expects over 40% of agentic AI projects to be cancelled by the end of 2027 due to cost overruns, unclear value, or inadequate risk controls.</w:t>
      </w:r>
    </w:p>
    <w:p w14:paraId="00100014" w14:textId="00100015">
      <w:pPr/>
      <w:r>
        <w:rPr>
          <w:sz w:val="22"/>
        </w:rPr>
        <w:t xml:space="preserve">This briefing (1) synthesizes what the leading analyst and consulting firms are finding, (2) translates enterprise buyer expectations into concrete product requirements, and (3) sorts the resulting AI feature set into vitamins (nice-to-have, delight-driven) and painkillers (must-have, deal-blocking) so that Boutinly’s enterprise roadmap is built around what actually closes and retains enterprise accounts — not what merely impresses in a demo.</w:t>
      </w:r>
    </w:p>
    <w:p w14:paraId="00100016" w14:textId="00100017">
      <w:pPr>
        <w:pStyle w:val="Heading1"/>
        <w:pageBreakBefore/>
        <w:spacing w:after="200"/>
      </w:pPr>
      <w:r>
        <w:rPr>
          <w:b/>
          <w:sz w:val="36"/>
        </w:rPr>
        <w:t xml:space="preserve">1. The Big Shift: From Systems of Record to Systems of Action</w:t>
      </w:r>
    </w:p>
    <w:p w14:paraId="00100018" w14:textId="00100019">
      <w:pPr>
        <w:spacing w:after="160"/>
      </w:pPr>
      <w:r>
        <w:rPr>
          <w:sz w:val="22"/>
        </w:rPr>
        <w:t xml:space="preserve">For two decades, CRM meant a system of record: humans did the work, and the CRM stored what happened. That model is ending. In 2026, “AI in CRM” increasingly means “qualify this lead, write the outreach, schedule the follow-up, and update the pipeline — autonomously,” not a chatbot bolted onto a dashboard.</w:t>
      </w:r>
    </w:p>
    <w:p w14:paraId="0010001A" w14:textId="0010001B">
      <w:pPr>
        <w:spacing w:after="80"/>
      </w:pPr>
      <w:r>
        <w:rPr>
          <w:sz w:val="22"/>
        </w:rPr>
        <w:t xml:space="preserve">Three data points capture the scale of the shift:</w:t>
      </w:r>
    </w:p>
    <w:p w14:paraId="0010001C" w14:textId="0010001D">
      <w:pPr>
        <w:numPr>
          <w:ilvl w:val="0"/>
          <w:numId w:val="1"/>
        </w:numPr>
      </w:pPr>
      <w:r>
        <w:rPr>
          <w:sz w:val="22"/>
        </w:rPr>
        <w:t xml:space="preserve">The AI-in-CRM market alone is valued at $11.04 billion in 2025 and is projected to reach $48.4 billion by 2033 — a growth rate far outpacing the broader CRM market, which is expected to grow from $126.2 billion in 2026 to $254.3 billion by 2032.</w:t>
      </w:r>
    </w:p>
    <w:p w14:paraId="0010001E" w14:textId="0010001F">
      <w:pPr>
        <w:numPr>
          <w:ilvl w:val="0"/>
          <w:numId w:val="1"/>
        </w:numPr>
      </w:pPr>
      <w:r>
        <w:rPr>
          <w:sz w:val="22"/>
        </w:rPr>
        <w:t xml:space="preserve">Gartner reports 80% of enterprise applications shipped or updated in Q1 2026 already embed at least one AI agent, up from 33% in 2024, and projects 40% of all enterprise applications will embed task-specific agents by the end of 2026 — up from under 5% at the start of the year.</w:t>
      </w:r>
    </w:p>
    <w:p w14:paraId="00100020" w14:textId="00100021">
      <w:pPr>
        <w:numPr>
          <w:ilvl w:val="0"/>
          <w:numId w:val="1"/>
        </w:numPr>
        <w:spacing w:after="200"/>
      </w:pPr>
      <w:r>
        <w:rPr>
          <w:sz w:val="22"/>
        </w:rPr>
        <w:t xml:space="preserve">87% of sales organizations now use some form of AI, and 94% of sales leaders who have deployed AI agents call them critical to meeting business demand (Salesforce, State of Sales 2026).</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tcPr>
            <w:shd w:val="clear" w:fill="1F4E79"/>
          </w:tcPr>
          <w:p w14:paraId="00100022" w14:textId="0010004A">
            <w:r>
              <w:rPr>
                <w:b/>
                <w:color w:val="FFFFFF"/>
              </w:rPr>
              <w:t xml:space="preserve">Vendor</w:t>
            </w:r>
          </w:p>
        </w:tc>
        <w:tc>
          <w:tcPr>
            <w:shd w:val="clear" w:fill="1F4E79"/>
          </w:tcPr>
          <w:p w14:paraId="00100024" w14:textId="0010004B">
            <w:r>
              <w:rPr>
                <w:b/>
                <w:color w:val="FFFFFF"/>
              </w:rPr>
              <w:t xml:space="preserve">AI Layer</w:t>
            </w:r>
          </w:p>
        </w:tc>
        <w:tc>
          <w:tcPr>
            <w:shd w:val="clear" w:fill="1F4E79"/>
          </w:tcPr>
          <w:p w14:paraId="00100026" w14:textId="0010004C">
            <w:r>
              <w:rPr>
                <w:b/>
                <w:color w:val="FFFFFF"/>
              </w:rPr>
              <w:t xml:space="preserve">Flagship Capability</w:t>
            </w:r>
          </w:p>
        </w:tc>
        <w:tc>
          <w:tcPr>
            <w:shd w:val="clear" w:fill="1F4E79"/>
          </w:tcPr>
          <w:p w14:paraId="00100028" w14:textId="0010004D">
            <w:r>
              <w:rPr>
                <w:b/>
                <w:color w:val="FFFFFF"/>
              </w:rPr>
              <w:t xml:space="preserve">Enterprise Positioning</w:t>
            </w:r>
          </w:p>
        </w:tc>
      </w:tr>
      <w:tr>
        <w:trPr/>
        <w:tc>
          <w:p w14:paraId="0010002A" w14:textId="0010002B">
            <w:r>
              <w:t xml:space="preserve">Salesforce</w:t>
            </w:r>
          </w:p>
        </w:tc>
        <w:tc>
          <w:p w14:paraId="0010002C" w14:textId="0010002D">
            <w:r>
              <w:t xml:space="preserve">Agentforce (Atlas Reasoning Engine)</w:t>
            </w:r>
          </w:p>
        </w:tc>
        <w:tc>
          <w:p w14:paraId="0010002E" w14:textId="0010002F">
            <w:r>
              <w:t xml:space="preserve">Multi-agent coordination across sales, service, marketing, commerce</w:t>
            </w:r>
          </w:p>
        </w:tc>
        <w:tc>
          <w:p w14:paraId="00100030" w14:textId="00100031">
            <w:r>
              <w:t xml:space="preserve">Deepest agent framework; $540M ARR; premium priced ($300–550+/user/mo)</w:t>
            </w:r>
          </w:p>
        </w:tc>
      </w:tr>
      <w:tr>
        <w:trPr/>
        <w:tc>
          <w:p w14:paraId="00100032" w14:textId="00100033">
            <w:r>
              <w:t xml:space="preserve">Microsoft</w:t>
            </w:r>
          </w:p>
        </w:tc>
        <w:tc>
          <w:p w14:paraId="00100034" w14:textId="00100035">
            <w:r>
              <w:t xml:space="preserve">Copilot for Sales / Dynamics 365</w:t>
            </w:r>
          </w:p>
        </w:tc>
        <w:tc>
          <w:p w14:paraId="00100036" w14:textId="00100037">
            <w:r>
              <w:t xml:space="preserve">Built-in agents for lead qualification, intent detection, case management</w:t>
            </w:r>
          </w:p>
        </w:tc>
        <w:tc>
          <w:p w14:paraId="00100038" w14:textId="00100039">
            <w:r>
              <w:t xml:space="preserve">Deep Microsoft 365 / Teams integration play</w:t>
            </w:r>
          </w:p>
        </w:tc>
      </w:tr>
      <w:tr>
        <w:trPr/>
        <w:tc>
          <w:p w14:paraId="0010003A" w14:textId="0010003B">
            <w:r>
              <w:t xml:space="preserve">HubSpot</w:t>
            </w:r>
          </w:p>
        </w:tc>
        <w:tc>
          <w:p w14:paraId="0010003C" w14:textId="0010003D">
            <w:r>
              <w:t xml:space="preserve">Breeze (Copilot + Agents + Intelligence)</w:t>
            </w:r>
          </w:p>
        </w:tc>
        <w:tc>
          <w:p w14:paraId="0010003E" w14:textId="0010003F">
            <w:r>
              <w:t xml:space="preserve">Prospecting, content, social, and customer agents; data enrichment</w:t>
            </w:r>
          </w:p>
        </w:tc>
        <w:tc>
          <w:p w14:paraId="00100040" w14:textId="00100041">
            <w:r>
              <w:t xml:space="preserve">Accessible agentic AI without enterprise complexity; 279K+ customers</w:t>
            </w:r>
          </w:p>
        </w:tc>
      </w:tr>
      <w:tr>
        <w:trPr/>
        <w:tc>
          <w:p w14:paraId="00100042" w14:textId="00100043">
            <w:r>
              <w:t xml:space="preserve">Zoho &amp; value-tier CRMs</w:t>
            </w:r>
          </w:p>
        </w:tc>
        <w:tc>
          <w:p w14:paraId="00100044" w14:textId="00100045">
            <w:r>
              <w:t xml:space="preserve">Zia and equivalents</w:t>
            </w:r>
          </w:p>
        </w:tc>
        <w:tc>
          <w:p w14:paraId="00100046" w14:textId="00100047">
            <w:r>
              <w:t xml:space="preserve">Predictive scoring, workflow agents, vertical add-ons</w:t>
            </w:r>
          </w:p>
        </w:tc>
        <w:tc>
          <w:p w14:paraId="00100048" w14:textId="00100049">
            <w:r>
              <w:t xml:space="preserve">Trailing the top three on agentic depth</w:t>
            </w:r>
          </w:p>
        </w:tc>
      </w:tr>
    </w:tbl>
    <w:p w14:paraId="0010004E" w14:textId="0010004F">
      <w:pPr>
        <w:spacing w:before="200"/>
      </w:pPr>
      <w:r>
        <w:rPr>
          <w:sz w:val="22"/>
        </w:rPr>
        <w:t xml:space="preserve">The strategic read for Boutinly: none of the market leaders is competing primarily on whether it has AI — all of them do. They are competing on whether their agents can be trusted to act autonomously inside a real business process, and on how many workflow steps those agents can chain together. That is the bar an enterprise-ready Boutinly roadmap needs to clear.</w:t>
      </w:r>
    </w:p>
    <w:p w14:paraId="00100050" w14:textId="00100051">
      <w:pPr>
        <w:pStyle w:val="Heading1"/>
        <w:pageBreakBefore/>
        <w:spacing w:after="200"/>
      </w:pPr>
      <w:r>
        <w:rPr>
          <w:b/>
          <w:sz w:val="36"/>
        </w:rPr>
        <w:t xml:space="preserve">2. What the Analysts and Big Four Are Saying</w:t>
      </w:r>
    </w:p>
    <w:p w14:paraId="00100052" w14:textId="00100053">
      <w:pPr>
        <w:spacing w:after="160"/>
      </w:pPr>
      <w:r>
        <w:rPr>
          <w:sz w:val="22"/>
        </w:rPr>
        <w:t xml:space="preserve">Six firms, one direction of travel: AI agents are moving from pilot to production faster than governance is catching up.</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tcPr>
            <w:shd w:val="clear" w:fill="1F4E79"/>
          </w:tcPr>
          <w:p w14:paraId="00100054" w14:textId="0010007E">
            <w:r>
              <w:rPr>
                <w:b/>
                <w:color w:val="FFFFFF"/>
              </w:rPr>
              <w:t xml:space="preserve">Firm</w:t>
            </w:r>
          </w:p>
        </w:tc>
        <w:tc>
          <w:tcPr>
            <w:shd w:val="clear" w:fill="1F4E79"/>
          </w:tcPr>
          <w:p w14:paraId="00100056" w14:textId="0010007F">
            <w:r>
              <w:rPr>
                <w:b/>
                <w:color w:val="FFFFFF"/>
              </w:rPr>
              <w:t xml:space="preserve">Key Finding</w:t>
            </w:r>
          </w:p>
        </w:tc>
        <w:tc>
          <w:tcPr>
            <w:shd w:val="clear" w:fill="1F4E79"/>
          </w:tcPr>
          <w:p w14:paraId="00100058" w14:textId="00100080">
            <w:r>
              <w:rPr>
                <w:b/>
                <w:color w:val="FFFFFF"/>
              </w:rPr>
              <w:t xml:space="preserve">So What for Boutinly</w:t>
            </w:r>
          </w:p>
        </w:tc>
      </w:tr>
      <w:tr>
        <w:trPr/>
        <w:tc>
          <w:p w14:paraId="0010005A" w14:textId="0010005B">
            <w:r>
              <w:t xml:space="preserve">Gartner</w:t>
            </w:r>
          </w:p>
        </w:tc>
        <w:tc>
          <w:p w14:paraId="0010005C" w14:textId="0010005D">
            <w:r>
              <w:t xml:space="preserve">40% of enterprise apps will embed task-specific agents by end of 2026 (from under 5%); 15% of day-to-day work decisions will be made autonomously by 2028; over 40% of agentic AI projects will be cancelled by end of 2027 over cost, unclear value, or risk controls; by 2027, 40% of enterprises will demote or decommission agents after governance gaps surface in production.</w:t>
            </w:r>
          </w:p>
        </w:tc>
        <w:tc>
          <w:p w14:paraId="0010005E" w14:textId="0010005F">
            <w:r>
              <w:t xml:space="preserve">Ship agentic features with visible guardrails and kill-switches from day one — buyers will ask how an agent gets shut off, not just what it does.</w:t>
            </w:r>
          </w:p>
        </w:tc>
      </w:tr>
      <w:tr>
        <w:trPr/>
        <w:tc>
          <w:p w14:paraId="00100060" w14:textId="00100061">
            <w:r>
              <w:t xml:space="preserve">McKinsey</w:t>
            </w:r>
          </w:p>
        </w:tc>
        <w:tc>
          <w:p w14:paraId="00100062" w14:textId="00100063">
            <w:r>
              <w:t xml:space="preserve">AI agents could add $2.6–4.4 trillion in annual value across business functions; 31% of enterprises already run at least one agent in production (banking/insurance lead at 47%, healthcare/government trail at 18%/14%).</w:t>
            </w:r>
          </w:p>
        </w:tc>
        <w:tc>
          <w:p w14:paraId="00100064" w14:textId="00100065">
            <w:r>
              <w:t xml:space="preserve">Lead vertical rollout with the highest-adoption functions (sales, finance-adjacent ops) before slower-moving, higher-compliance segments.</w:t>
            </w:r>
          </w:p>
        </w:tc>
      </w:tr>
      <w:tr>
        <w:trPr/>
        <w:tc>
          <w:p w14:paraId="00100066" w14:textId="00100067">
            <w:r>
              <w:t xml:space="preserve">Deloitte</w:t>
            </w:r>
          </w:p>
        </w:tc>
        <w:tc>
          <w:p w14:paraId="00100068" w14:textId="00100069">
            <w:r>
              <w:t xml:space="preserve">State of AI in the Enterprise 2026: only 23% use agentic AI moderately today, but 74% expect moderate-to-full integration within two years; customer support is the single highest-impact use case; 73% cite data privacy/security as the top AI risk, yet only 21% have mature governance.</w:t>
            </w:r>
          </w:p>
        </w:tc>
        <w:tc>
          <w:p w14:paraId="0010006A" w14:textId="0010006B">
            <w:r>
              <w:t xml:space="preserve">Customer service agents are the highest-leverage entry point for Boutinly’s AI roadmap — and the one buyers will scrutinize hardest on data handling.</w:t>
            </w:r>
          </w:p>
        </w:tc>
      </w:tr>
      <w:tr>
        <w:trPr/>
        <w:tc>
          <w:p w14:paraId="0010006C" w14:textId="0010006D">
            <w:r>
              <w:t xml:space="preserve">PwC</w:t>
            </w:r>
          </w:p>
        </w:tc>
        <w:tc>
          <w:p w14:paraId="0010006E" w14:textId="0010006F">
            <w:r>
              <w:t xml:space="preserve">Few businesses are yet connecting agents across workflows and functions — but that cross-workflow orchestration is where the real value sits, not in isolated point features.</w:t>
            </w:r>
          </w:p>
        </w:tc>
        <w:tc>
          <w:p w14:paraId="00100070" w14:textId="00100071">
            <w:r>
              <w:t xml:space="preserve">Prioritize chaining (lead → outreach → meeting → follow-up → forecast) over shipping disconnected AI widgets.</w:t>
            </w:r>
          </w:p>
        </w:tc>
      </w:tr>
      <w:tr>
        <w:trPr/>
        <w:tc>
          <w:p w14:paraId="00100072" w14:textId="00100073">
            <w:r>
              <w:t xml:space="preserve">KPMG</w:t>
            </w:r>
          </w:p>
        </w:tc>
        <w:tc>
          <w:p w14:paraId="00100074" w14:textId="00100075">
            <w:r>
              <w:t xml:space="preserve">Global CX Excellence 2025–2026: agentic AI marks a “fundamental shift” in how organizations serve customers, with leading brands using it to augment — not replace — human empathy.</w:t>
            </w:r>
          </w:p>
        </w:tc>
        <w:tc>
          <w:p w14:paraId="00100076" w14:textId="00100077">
            <w:r>
              <w:t xml:space="preserve">Position Boutinly’s AI as augmenting reps and support agents, not replacing headcount — the safer buyer narrative, and the one KPMG’s research says wins.</w:t>
            </w:r>
          </w:p>
        </w:tc>
      </w:tr>
      <w:tr>
        <w:trPr/>
        <w:tc>
          <w:p w14:paraId="00100078" w14:textId="00100079">
            <w:r>
              <w:t xml:space="preserve">BCG / Forrester</w:t>
            </w:r>
          </w:p>
        </w:tc>
        <w:tc>
          <w:p w14:paraId="0010007A" w14:textId="0010007B">
            <w:r>
              <w:t xml:space="preserve">Median time-to-value on agent deployments is 5.1 months; SDR/prospecting agents pay back fastest (3.4 months), finance/ops agents slowest (8.9 months).</w:t>
            </w:r>
          </w:p>
        </w:tc>
        <w:tc>
          <w:p w14:paraId="0010007C" w14:textId="0010007D">
            <w:r>
              <w:t xml:space="preserve">Sequence the roadmap to ship fast-payback agent types (prospecting, lead scoring) first to build internal buy-in before tackling slower-ROI categories.</w:t>
            </w:r>
          </w:p>
        </w:tc>
      </w:tr>
    </w:tbl>
    <w:p w14:paraId="00100081" w14:textId="00100082">
      <w:pPr>
        <w:spacing w:before="200"/>
      </w:pPr>
      <w:r>
        <w:rPr>
          <w:sz w:val="22"/>
        </w:rPr>
        <w:t xml:space="preserve">The consistent thread across all six firms: the technology is not the bottleneck. Governance, data quality, and cross-workflow integration are. Any AI feature Boutinly ships needs to answer, up front, how it’s governed and what it’s connected to — not just what it automates.</w:t>
      </w:r>
    </w:p>
    <w:p w14:paraId="00100083" w14:textId="00100084">
      <w:pPr>
        <w:pStyle w:val="Heading1"/>
        <w:pageBreakBefore/>
        <w:spacing w:after="200"/>
      </w:pPr>
      <w:r>
        <w:rPr>
          <w:b/>
          <w:sz w:val="36"/>
        </w:rPr>
        <w:t xml:space="preserve">3. Enterprise Buyer Expectations in 2026</w:t>
      </w:r>
    </w:p>
    <w:p w14:paraId="00100085" w14:textId="00100086">
      <w:pPr>
        <w:spacing w:after="160"/>
      </w:pPr>
      <w:r>
        <w:rPr>
          <w:sz w:val="22"/>
        </w:rPr>
        <w:t xml:space="preserve">Enterprise buyers are no longer evaluating CRM AI feature-by-feature. 73% of enterprise CRM users expect AI-powered features to be central to their workflow by the end of 2026, and the evaluation question has shifted from “does it have AI” to “can this platform sit at the center of a fast-moving customer operation.” Four expectations recur across the research:</w:t>
      </w:r>
    </w:p>
    <w:p w14:paraId="00100087" w14:textId="00100088">
      <w:pPr>
        <w:numPr>
          <w:ilvl w:val="0"/>
          <w:numId w:val="2"/>
        </w:numPr>
      </w:pPr>
      <w:r>
        <w:rPr>
          <w:sz w:val="22"/>
        </w:rPr>
        <w:t xml:space="preserve">A unified customer data layer. AI is only as good as the data underneath it — poor CRM data quality already costs organizations an estimated 15–25% of total revenue through missed opportunities and inaccurate forecasting. Buyers now treat data hygiene and deduplication as an AI-readiness prerequisite, not a separate IT project.</w:t>
      </w:r>
    </w:p>
    <w:p w14:paraId="00100089" w14:textId="0010008A">
      <w:pPr>
        <w:numPr>
          <w:ilvl w:val="0"/>
          <w:numId w:val="2"/>
        </w:numPr>
      </w:pPr>
      <w:r>
        <w:rPr>
          <w:sz w:val="22"/>
        </w:rPr>
        <w:t xml:space="preserve">AI assistants with clear guardrails, not black boxes. Explainability is now a purchase criterion: recommendations that don’t explain why they were made see lower adoption and get switched off. Buyers expect to see why an agent recommended an action, not just the recommendation itself.</w:t>
      </w:r>
    </w:p>
    <w:p w14:paraId="0010008B" w14:textId="0010008C">
      <w:pPr>
        <w:numPr>
          <w:ilvl w:val="0"/>
          <w:numId w:val="2"/>
        </w:numPr>
      </w:pPr>
      <w:r>
        <w:rPr>
          <w:sz w:val="22"/>
        </w:rPr>
        <w:t xml:space="preserve">Integration that keeps data in sync across the stack. Agents that only see CRM data — not the surrounding calendar, email, support desk, or billing tools — make worse decisions and lose buyer trust quickly.</w:t>
      </w:r>
    </w:p>
    <w:p w14:paraId="0010008D" w14:textId="0010008E">
      <w:pPr>
        <w:numPr>
          <w:ilvl w:val="0"/>
          <w:numId w:val="2"/>
        </w:numPr>
      </w:pPr>
      <w:r>
        <w:rPr>
          <w:sz w:val="22"/>
        </w:rPr>
        <w:t xml:space="preserve">Native AI, not bolted-on chat. Today, only 19% of sales reps use AI features built directly into their sales tools — most still lean on general-purpose chatbots outside the CRM. That is an adoption gap, and it is also the opportunity: reps who effectively partner with in-tool AI are 3.7x more likely to meet quota than those who don’t.</w:t>
      </w:r>
    </w:p>
    <w:p w14:paraId="0010008F" w14:textId="00100090">
      <w:pPr>
        <w:pStyle w:val="Heading1"/>
        <w:pageBreakBefore/>
        <w:spacing w:after="200"/>
      </w:pPr>
      <w:r>
        <w:rPr>
          <w:b/>
          <w:sz w:val="36"/>
        </w:rPr>
        <w:t xml:space="preserve">4. Risk, Governance, and the Trust Gap</w:t>
      </w:r>
    </w:p>
    <w:p w14:paraId="00100091" w14:textId="00100092">
      <w:pPr>
        <w:spacing w:after="120"/>
      </w:pPr>
      <w:r>
        <w:rPr>
          <w:sz w:val="22"/>
        </w:rPr>
        <w:t xml:space="preserve">The same research that shows AI’s upside is emphatic about the downside of moving carelessly. Three warnings matter most for an enterprise roadmap:</w:t>
      </w:r>
    </w:p>
    <w:p w14:paraId="00100093" w14:textId="00100094">
      <w:pPr>
        <w:numPr>
          <w:ilvl w:val="0"/>
          <w:numId w:val="3"/>
        </w:numPr>
      </w:pPr>
      <w:r>
        <w:rPr>
          <w:sz w:val="22"/>
        </w:rPr>
        <w:t xml:space="preserve">The governance gap is the single largest blocker to safe scale. Deloitte finds only 21% of organizations have governance models mature enough for autonomous agents, even though 73% name data privacy and security as their top AI risk. Gartner goes further: applying uniform governance across all AI agents — treating a low-risk internal summarization agent the same as a customer-facing agent that can issue refunds — is itself a failure mode that leads enterprises to decommission agents after an incident, not before one.</w:t>
      </w:r>
    </w:p>
    <w:p w14:paraId="00100095" w14:textId="00100096">
      <w:pPr>
        <w:numPr>
          <w:ilvl w:val="0"/>
          <w:numId w:val="3"/>
        </w:numPr>
      </w:pPr>
      <w:r>
        <w:rPr>
          <w:sz w:val="22"/>
        </w:rPr>
        <w:t xml:space="preserve">Project failure is common, and it’s rarely a model problem. Gartner projects over 40% of agentic AI projects will be cancelled by the end of 2027 due to escalating costs, unclear business value, or inadequate risk controls — not because the underlying AI didn’t work, but because the surrounding operating layer (ownership, monitoring, spend controls) wasn’t built.</w:t>
      </w:r>
    </w:p>
    <w:p w14:paraId="00100097" w14:textId="00100098">
      <w:pPr>
        <w:numPr>
          <w:ilvl w:val="0"/>
          <w:numId w:val="3"/>
        </w:numPr>
        <w:spacing w:after="200"/>
      </w:pPr>
      <w:r>
        <w:rPr>
          <w:sz w:val="22"/>
        </w:rPr>
        <w:t xml:space="preserve">Regulatory deadlines are landing now, not later. The EU AI Act’s high-risk system obligations reach their compliance deadline on August 2, 2026, alongside GDPR and at least 34 national data-localization laws worldwide. Enterprise CRM buyers — especially in regulated industries — are actively screening vendors for field-level encryption, configurable data retention, right-to-deletion workflows, and data residency options as baseline requirements, not premium add-ons.</w:t>
      </w:r>
    </w:p>
    <w:p w14:paraId="00100099" w14:textId="0010009A">
      <w:pPr/>
      <w:r>
        <w:rPr>
          <w:sz w:val="22"/>
        </w:rPr>
        <w:t xml:space="preserve">For Boutinly, the strategic implication is that governance and explainability aren’t a v2 feature to bolt on after the AI ships — they are what enterprise buyers are underwriting the purchase decision on.</w:t>
      </w:r>
    </w:p>
    <w:p w14:paraId="0010009B" w14:textId="0010009C">
      <w:pPr>
        <w:pStyle w:val="Heading1"/>
        <w:pageBreakBefore/>
        <w:spacing w:after="200"/>
      </w:pPr>
      <w:r>
        <w:rPr>
          <w:b/>
          <w:sz w:val="36"/>
        </w:rPr>
        <w:t xml:space="preserve">5. The Vitamin vs. Painkiller Framework for AI in CRM</w:t>
      </w:r>
    </w:p>
    <w:p w14:paraId="0010009D" w14:textId="0010009E">
      <w:pPr>
        <w:spacing w:after="160"/>
      </w:pPr>
      <w:r>
        <w:rPr>
          <w:sz w:val="22"/>
        </w:rPr>
        <w:t xml:space="preserve">Not every AI capability enterprise buyers ask about deserves equal roadmap priority. The vitamin-painkiller framework sorts features by whether they solve an acute, budget-approved pain — painkillers, the ones the buyer won’t sign without — or improve an already-tolerable experience — vitamins, desirable but not deal-blocking on their own.</w:t>
      </w:r>
    </w:p>
    <w:p w14:paraId="0010009F" w14:textId="001000A0">
      <w:pPr>
        <w:spacing w:after="200"/>
      </w:pPr>
      <w:r>
        <w:rPr>
          <w:sz w:val="22"/>
        </w:rPr>
        <w:t xml:space="preserve">Two dynamics complicate a static list. First, painkillers earn their place because they map to a cost the buyer is already feeling — lost pipeline, a missed SLA, an auditor’s question — not because they involve AI. Second, the boundary moves: as agentic AI reaches mainstream adoption, several 2024-era vitamins (predictive lead scoring, AI-drafted outreach) are hardening into painkillers, because “does your CRM already do this” is now a qualifying question in enterprise RFPs, not a differentiator.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tcPr>
            <w:shd w:val="clear" w:fill="1F4E79"/>
          </w:tcPr>
          <w:p w14:paraId="001000A1" w14:textId="001000C5">
            <w:r>
              <w:rPr>
                <w:b/>
                <w:color w:val="FFFFFF"/>
              </w:rPr>
              <w:t xml:space="preserve">Function</w:t>
            </w:r>
          </w:p>
        </w:tc>
        <w:tc>
          <w:tcPr>
            <w:shd w:val="clear" w:fill="1F4E79"/>
          </w:tcPr>
          <w:p w14:paraId="001000A3" w14:textId="001000C6">
            <w:r>
              <w:rPr>
                <w:b/>
                <w:color w:val="FFFFFF"/>
              </w:rPr>
              <w:t xml:space="preserve">Painkiller (must-have — buyer won’t sign without it)</w:t>
            </w:r>
          </w:p>
        </w:tc>
        <w:tc>
          <w:tcPr>
            <w:shd w:val="clear" w:fill="1F4E79"/>
          </w:tcPr>
          <w:p w14:paraId="001000A5" w14:textId="001000C7">
            <w:r>
              <w:rPr>
                <w:b/>
                <w:color w:val="FFFFFF"/>
              </w:rPr>
              <w:t xml:space="preserve">Vitamin (valuable — doesn’t block the deal)</w:t>
            </w:r>
          </w:p>
        </w:tc>
      </w:tr>
      <w:tr>
        <w:trPr/>
        <w:tc>
          <w:p w14:paraId="001000A7" w14:textId="001000A8">
            <w:r>
              <w:t xml:space="preserve">Sales</w:t>
            </w:r>
          </w:p>
        </w:tc>
        <w:tc>
          <w:p w14:paraId="001000A9" w14:textId="001000AA">
            <w:r>
              <w:t xml:space="preserve">Predictive lead &amp; deal scoring wired into the actual workflow (not a bolt-on dashboard); AI-assisted forecasting with variance explanation</w:t>
            </w:r>
          </w:p>
        </w:tc>
        <w:tc>
          <w:p w14:paraId="001000AB" w14:textId="001000AC">
            <w:r>
              <w:t xml:space="preserve">AI-drafted outreach copy; meeting-note summarization; gamified rep performance insights</w:t>
            </w:r>
          </w:p>
        </w:tc>
      </w:tr>
      <w:tr>
        <w:trPr/>
        <w:tc>
          <w:p w14:paraId="001000AD" w14:textId="001000AE">
            <w:r>
              <w:t xml:space="preserve">Marketing</w:t>
            </w:r>
          </w:p>
        </w:tc>
        <w:tc>
          <w:p w14:paraId="001000AF" w14:textId="001000B0">
            <w:r>
              <w:t xml:space="preserve">Data enrichment and deduplication at the point of capture; segment-level next-best-action</w:t>
            </w:r>
          </w:p>
        </w:tc>
        <w:tc>
          <w:p w14:paraId="001000B1" w14:textId="001000B2">
            <w:r>
              <w:t xml:space="preserve">Generative campaign copy and creative variants; AI-suggested send-time optimization</w:t>
            </w:r>
          </w:p>
        </w:tc>
      </w:tr>
      <w:tr>
        <w:trPr/>
        <w:tc>
          <w:p w14:paraId="001000B3" w14:textId="001000B4">
            <w:r>
              <w:t xml:space="preserve">Customer Service</w:t>
            </w:r>
          </w:p>
        </w:tc>
        <w:tc>
          <w:p w14:paraId="001000B5" w14:textId="001000B6">
            <w:r>
              <w:t xml:space="preserve">Agentic case triage/resolution at scale with human escalation paths (Deloitte’s highest-impact use case); explainable routing decisions</w:t>
            </w:r>
          </w:p>
        </w:tc>
        <w:tc>
          <w:p w14:paraId="001000B7" w14:textId="001000B8">
            <w:r>
              <w:t xml:space="preserve">Sentiment analysis overlays; auto-generated support macros</w:t>
            </w:r>
          </w:p>
        </w:tc>
      </w:tr>
      <w:tr>
        <w:trPr/>
        <w:tc>
          <w:p w14:paraId="001000B9" w14:textId="001000BA">
            <w:r>
              <w:t xml:space="preserve">Data &amp; Operations</w:t>
            </w:r>
          </w:p>
        </w:tc>
        <w:tc>
          <w:p w14:paraId="001000BB" w14:textId="001000BC">
            <w:r>
              <w:t xml:space="preserve">Unified customer data layer with automated hygiene/dedup (poor data costs 15–25% of revenue); real-time sync across the surrounding stack</w:t>
            </w:r>
          </w:p>
        </w:tc>
        <w:tc>
          <w:p w14:paraId="001000BD" w14:textId="001000BE">
            <w:r>
              <w:t xml:space="preserve">AI-generated reporting narratives; anomaly “nice to notice” alerts</w:t>
            </w:r>
          </w:p>
        </w:tc>
      </w:tr>
      <w:tr>
        <w:trPr/>
        <w:tc>
          <w:p w14:paraId="001000BF" w14:textId="001000C0">
            <w:r>
              <w:t xml:space="preserve">Governance &amp; Trust</w:t>
            </w:r>
          </w:p>
        </w:tc>
        <w:tc>
          <w:p w14:paraId="001000C1" w14:textId="001000C2">
            <w:r>
              <w:t xml:space="preserve">Explainable recommendations (why, not just what); human-in-the-loop approval gates on high-risk actions; audit trail per agent action; field-level encryption and data residency controls</w:t>
            </w:r>
          </w:p>
        </w:tc>
        <w:tc>
          <w:p w14:paraId="001000C3" w14:textId="001000C4">
            <w:r>
              <w:t xml:space="preserve">Configurable agent “personality”/tone controls; usage analytics dashboards for AI features</w:t>
            </w:r>
          </w:p>
        </w:tc>
      </w:tr>
    </w:tbl>
    <w:p w14:paraId="001000C8" w14:textId="001000C9">
      <w:pPr>
        <w:spacing w:before="200"/>
      </w:pPr>
      <w:r>
        <w:rPr>
          <w:sz w:val="22"/>
        </w:rPr>
        <w:t xml:space="preserve">The practical rule for Boutinly’s roadmap: ship painkillers to the point they clear procurement, then differentiate on vitamins. A feature that looks impressive in a demo but sits in the vitamin column should never precede a painkiller in the build queue for an enterprise-tier release.</w:t>
      </w:r>
    </w:p>
    <w:p w14:paraId="001000CA" w14:textId="001000CB">
      <w:pPr>
        <w:pStyle w:val="Heading1"/>
        <w:pageBreakBefore/>
        <w:spacing w:after="200"/>
      </w:pPr>
      <w:r>
        <w:rPr>
          <w:b/>
          <w:sz w:val="36"/>
        </w:rPr>
        <w:t xml:space="preserve">6. Recommended AI Roadmap for Boutinly’s Enterprise Tier</w:t>
      </w:r>
    </w:p>
    <w:p w14:paraId="001000CC" w14:textId="001000CD">
      <w:pPr>
        <w:spacing w:after="160"/>
      </w:pPr>
      <w:r>
        <w:rPr>
          <w:sz w:val="22"/>
        </w:rPr>
        <w:t xml:space="preserve">Sequenced using BCG/Forrester’s time-to-value data (fast-payback agent types first) and the painkiller list above.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tcPr>
            <w:shd w:val="clear" w:fill="1F4E79"/>
          </w:tcPr>
          <w:p w14:paraId="001000CE" w14:textId="001000E6">
            <w:r>
              <w:rPr>
                <w:b/>
                <w:color w:val="FFFFFF"/>
              </w:rPr>
              <w:t xml:space="preserve">Horizon</w:t>
            </w:r>
          </w:p>
        </w:tc>
        <w:tc>
          <w:tcPr>
            <w:shd w:val="clear" w:fill="1F4E79"/>
          </w:tcPr>
          <w:p w14:paraId="001000D0" w14:textId="001000E7">
            <w:r>
              <w:rPr>
                <w:b/>
                <w:color w:val="FFFFFF"/>
              </w:rPr>
              <w:t xml:space="preserve">Feature</w:t>
            </w:r>
          </w:p>
        </w:tc>
        <w:tc>
          <w:tcPr>
            <w:shd w:val="clear" w:fill="1F4E79"/>
          </w:tcPr>
          <w:p w14:paraId="001000D2" w14:textId="001000E8">
            <w:r>
              <w:rPr>
                <w:b/>
                <w:color w:val="FFFFFF"/>
              </w:rPr>
              <w:t xml:space="preserve">Why This Sequencing</w:t>
            </w:r>
          </w:p>
        </w:tc>
      </w:tr>
      <w:tr>
        <w:trPr/>
        <w:tc>
          <w:p w14:paraId="001000D4" w14:textId="001000D5">
            <w:r>
              <w:t xml:space="preserve">Now (0–6 months)</w:t>
            </w:r>
          </w:p>
        </w:tc>
        <w:tc>
          <w:p w14:paraId="001000D6" w14:textId="001000D7">
            <w:r>
              <w:t xml:space="preserve">Data hygiene &amp; dedup engine; predictive lead/deal scoring inside the pipeline view; explainability panel on every AI recommendation</w:t>
            </w:r>
          </w:p>
        </w:tc>
        <w:tc>
          <w:p w14:paraId="001000D8" w14:textId="001000D9">
            <w:r>
              <w:t xml:space="preserve">Fastest-payback painkillers (BCG: prospecting/scoring agents pay back in ~3.4 months) and a prerequisite for every later feature — bad data poisons every agent built on top of it</w:t>
            </w:r>
          </w:p>
        </w:tc>
      </w:tr>
      <w:tr>
        <w:trPr/>
        <w:tc>
          <w:p w14:paraId="001000DA" w14:textId="001000DB">
            <w:r>
              <w:t xml:space="preserve">Next (6–12 months)</w:t>
            </w:r>
          </w:p>
        </w:tc>
        <w:tc>
          <w:p w14:paraId="001000DC" w14:textId="001000DD">
            <w:r>
              <w:t xml:space="preserve">Agentic case triage for support with human escalation; AI forecasting with variance explanation; human-in-the-loop approval workflow for high-risk agent actions</w:t>
            </w:r>
          </w:p>
        </w:tc>
        <w:tc>
          <w:p w14:paraId="001000DE" w14:textId="001000DF">
            <w:r>
              <w:t xml:space="preserve">Matches Deloitte’s finding that customer support is the highest-impact agentic use case, and builds the governance layer Gartner flags as the #1 cause of agent decommissioning</w:t>
            </w:r>
          </w:p>
        </w:tc>
      </w:tr>
      <w:tr>
        <w:trPr/>
        <w:tc>
          <w:p w14:paraId="001000E0" w14:textId="001000E1">
            <w:r>
              <w:t xml:space="preserve">Later (12–18 months)</w:t>
            </w:r>
          </w:p>
        </w:tc>
        <w:tc>
          <w:p w14:paraId="001000E2" w14:textId="001000E3">
            <w:r>
              <w:t xml:space="preserve">Cross-workflow agent chaining (lead → outreach → meeting → follow-up → forecast, per PwC’s orchestration finding); audit trail and data residency controls for regulated-industry buyers; generative content/copy agents</w:t>
            </w:r>
          </w:p>
        </w:tc>
        <w:tc>
          <w:p w14:paraId="001000E4" w14:textId="001000E5">
            <w:r>
              <w:t xml:space="preserve">Orchestration is where PwC says the real value sits, but it depends on the Now/Next data and governance foundation being in place first; residency/audit capability targets the EU AI Act and sector-specific compliance deadlines already in force</w:t>
            </w:r>
          </w:p>
        </w:tc>
      </w:tr>
    </w:tbl>
    <w:p w14:paraId="001000E9" w14:textId="001000EA">
      <w:pPr>
        <w:pStyle w:val="Heading1"/>
        <w:pageBreakBefore/>
        <w:spacing w:after="200"/>
      </w:pPr>
      <w:r>
        <w:rPr>
          <w:b/>
          <w:sz w:val="36"/>
        </w:rPr>
        <w:t xml:space="preserve">Conclusion</w:t>
      </w:r>
    </w:p>
    <w:p w14:paraId="001000EB" w14:textId="001000EC">
      <w:pPr>
        <w:spacing w:after="400"/>
      </w:pPr>
      <w:r>
        <w:rPr>
          <w:sz w:val="22"/>
        </w:rPr>
        <w:t xml:space="preserve">AI is no longer a CRM feature — it is becoming the operating model of CRM itself. The firms tracking this shift agree on the size of the opportunity and, just as clearly, on where it goes wrong: ungoverned agents, disconnected point features, and data too dirty to trust. Boutinly’s advantage is that this roadmap doesn’t require betting on unproven technology — it requires sequencing well-understood painkillers ahead of well-understood vitamins, and building the governance layer analysts say most competitors still lack. That combination — trustworthy agents, connected workflows, and clean data — is what will differentiate Boutinly’s enterprise tier in a market where “having AI” has already stopped being the differentiator.</w:t>
      </w:r>
    </w:p>
    <w:p w14:paraId="001000ED" w14:textId="001000EE">
      <w:pPr>
        <w:pStyle w:val="Heading1"/>
        <w:pageBreakBefore/>
        <w:spacing w:after="200"/>
      </w:pPr>
      <w:r>
        <w:rPr>
          <w:b/>
          <w:sz w:val="36"/>
        </w:rPr>
        <w:t xml:space="preserve">Appendix A: Sources</w:t>
      </w:r>
    </w:p>
    <w:p w14:paraId="001000EF" w14:textId="001000F0">
      <w:pPr>
        <w:numPr>
          <w:ilvl w:val="0"/>
          <w:numId w:val="4"/>
        </w:numPr>
      </w:pPr>
      <w:r>
        <w:rPr>
          <w:sz w:val="20"/>
        </w:rPr>
        <w:t xml:space="preserve">Gartner — “40% of Enterprise Apps Will Feature Task-Specific AI Agents by 2026” (2025); “Over 40% of Agentic AI Projects Will Be Cancelled by End of 2027” (2025); “Applying Uniform Governance Across AI Agents Will Lead to Enterprise AI Agent Failure” (2026); Top Predictions for Data and Analytics 2026 — gartner.com/en/newsroom</w:t>
      </w:r>
    </w:p>
    <w:p w14:paraId="001000F1" w14:textId="001000F2">
      <w:pPr>
        <w:numPr>
          <w:ilvl w:val="0"/>
          <w:numId w:val="4"/>
        </w:numPr>
      </w:pPr>
      <w:r>
        <w:rPr>
          <w:sz w:val="20"/>
        </w:rPr>
        <w:t xml:space="preserve">McKinsey &amp; Company — Agentic AI value estimates ($2.6–4.4T annually); enterprise production-adoption data (with S&amp;P Global Market Intelligence) — mckinsey.com</w:t>
      </w:r>
    </w:p>
    <w:p w14:paraId="001000F3" w14:textId="001000F4">
      <w:pPr>
        <w:numPr>
          <w:ilvl w:val="0"/>
          <w:numId w:val="4"/>
        </w:numPr>
      </w:pPr>
      <w:r>
        <w:rPr>
          <w:sz w:val="20"/>
        </w:rPr>
        <w:t xml:space="preserve">Deloitte — “The State of AI in the Enterprise,” 2026 (8th edition) — deloitte.com/us/en/what-we-do/capabilities/applied-artificial-intelligence</w:t>
      </w:r>
    </w:p>
    <w:p w14:paraId="001000F5" w14:textId="001000F6">
      <w:pPr>
        <w:numPr>
          <w:ilvl w:val="0"/>
          <w:numId w:val="4"/>
        </w:numPr>
      </w:pPr>
      <w:r>
        <w:rPr>
          <w:sz w:val="20"/>
        </w:rPr>
        <w:t xml:space="preserve">PwC — “PwC’s AI Agent Survey” — pwc.com/us/en/tech-effect/ai-analytics/ai-agent-survey.html</w:t>
      </w:r>
    </w:p>
    <w:p w14:paraId="001000F7" w14:textId="001000F8">
      <w:pPr>
        <w:numPr>
          <w:ilvl w:val="0"/>
          <w:numId w:val="4"/>
        </w:numPr>
      </w:pPr>
      <w:r>
        <w:rPr>
          <w:sz w:val="20"/>
        </w:rPr>
        <w:t xml:space="preserve">KPMG — Global Customer Experience Excellence Report 2025–2026 — assets.kpmg.com</w:t>
      </w:r>
    </w:p>
    <w:p w14:paraId="001000F9" w14:textId="001000FA">
      <w:pPr>
        <w:numPr>
          <w:ilvl w:val="0"/>
          <w:numId w:val="4"/>
        </w:numPr>
      </w:pPr>
      <w:r>
        <w:rPr>
          <w:sz w:val="20"/>
        </w:rPr>
        <w:t xml:space="preserve">BCG &amp; Forrester — 2026 agent deployment ROI/time-to-value survey data, cited via CX Today and CRM Buyer industry coverage</w:t>
      </w:r>
    </w:p>
    <w:p w14:paraId="001000FB" w14:textId="001000FC">
      <w:pPr>
        <w:numPr>
          <w:ilvl w:val="0"/>
          <w:numId w:val="4"/>
        </w:numPr>
      </w:pPr>
      <w:r>
        <w:rPr>
          <w:sz w:val="20"/>
        </w:rPr>
        <w:t xml:space="preserve">Salesforce — State of Sales 2026; Agentforce ARR and adoption disclosures — salesforce.com</w:t>
      </w:r>
    </w:p>
    <w:p w14:paraId="001000FD" w14:textId="001000FE">
      <w:pPr>
        <w:numPr>
          <w:ilvl w:val="0"/>
          <w:numId w:val="4"/>
        </w:numPr>
      </w:pPr>
      <w:r>
        <w:rPr>
          <w:sz w:val="20"/>
        </w:rPr>
        <w:t xml:space="preserve">HubSpot — Breeze product and customer-count disclosures; FY2025 revenue results — hubspot.com</w:t>
      </w:r>
    </w:p>
    <w:p w14:paraId="001000FF" w14:textId="00100100">
      <w:pPr>
        <w:numPr>
          <w:ilvl w:val="0"/>
          <w:numId w:val="4"/>
        </w:numPr>
      </w:pPr>
      <w:r>
        <w:rPr>
          <w:sz w:val="20"/>
        </w:rPr>
        <w:t xml:space="preserve">Market sizing — CRM and AI-in-CRM market size/growth figures aggregated via Axis Intelligence, SLT Creative, and 99 Coupons Journal CRM statistics roundups (2026)</w:t>
      </w:r>
    </w:p>
    <w:p w14:paraId="00100101" w14:textId="00100102">
      <w:pPr>
        <w:numPr>
          <w:ilvl w:val="0"/>
          <w:numId w:val="4"/>
        </w:numPr>
      </w:pPr>
      <w:r>
        <w:rPr>
          <w:sz w:val="20"/>
        </w:rPr>
        <w:t xml:space="preserve">CX Today — “CRM Trends 2026: The Customer Data, AI, And Governance Shifts” — cxtoday.com/crm/crm-trends-2026-customer-data</w:t>
      </w:r>
    </w:p>
    <w:p w14:paraId="00100103" w14:textId="00100104">
      <w:pPr>
        <w:numPr>
          <w:ilvl w:val="0"/>
          <w:numId w:val="4"/>
        </w:numPr>
      </w:pPr>
      <w:r>
        <w:rPr>
          <w:sz w:val="20"/>
        </w:rPr>
        <w:t xml:space="preserve">Regulatory — EU AI Act high-risk system compliance deadline (August 2, 2026); GDPR; national data-localization law counts via Vantage Point and gmicloud.ai data-residency guides</w:t>
      </w:r>
    </w:p>
    <w:sectPr>
      <w:footerReference w:type="default" r:id="R4d7476996f774dbe"/>
      <w:footerReference w:type="first" r:id="Rda25850f47b24554"/>
      <w:pgSz w:w="11906" w:h="16838"/>
      <w:pgMar w:top="1440" w:right="1800" w:bottom="1440" w:left="1800"/>
      <w:titlePg/>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105" w14:textId="00100106">
    <w:pPr/>
    <w:r>
      <w:t xml:space="preserve"/>
    </w:r>
  </w:p>
</w:ftr>
</file>

<file path=word/footer2.xml><?xml version="1.0" encoding="utf-8"?>
<w:ftr xmlns:mc="http://schemas.openxmlformats.org/markup-compatibility/2006" xmlns:w14="http://schemas.microsoft.com/office/word/2010/wordml" xmlns:w="http://schemas.openxmlformats.org/wordprocessingml/2006/main" mc:Ignorable="w14">
  <w:p w14:paraId="00100107" w14:textId="0010010B">
    <w:pPr>
      <w:jc w:val="center"/>
    </w:pPr>
    <w:r>
      <w:rPr>
        <w:sz w:val="18"/>
      </w:rPr>
      <w:t xml:space="preserve">Page </w:t>
    </w:r>
    <w:r>
      <w:fldChar w:fldCharType="begin"/>
    </w:r>
    <w:r>
      <w:instrText xml:space="preserve"> PAGE </w:instrText>
    </w:r>
    <w:r>
      <w:fldChar w:fldCharType="separate"/>
    </w:r>
    <w:r>
      <w:t xml:space="preserve">1</w:t>
    </w:r>
    <w:r>
      <w:fldChar w:fldCharType="end"/>
    </w:r>
    <w:r>
      <w:rPr/>
      <w:t xml:space="preserve"> of </w:t>
    </w:r>
    <w:r>
      <w:fldChar w:fldCharType="begin"/>
    </w:r>
    <w:r>
      <w:instrText xml:space="preserve"> NUMPAGES </w:instrText>
    </w:r>
    <w:r>
      <w:fldChar w:fldCharType="separate"/>
    </w:r>
    <w:r>
      <w:t xml:space="preserve">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updateField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606e3ff468648cc" /><Relationship Type="http://schemas.openxmlformats.org/officeDocument/2006/relationships/styles" Target="/word/styles.xml" Id="R797311ec86a849d2" /><Relationship Type="http://schemas.openxmlformats.org/officeDocument/2006/relationships/theme" Target="/word/theme/theme1.xml" Id="R791b1b84def441fd" /><Relationship Type="http://schemas.openxmlformats.org/officeDocument/2006/relationships/numbering" Target="/word/numbering.xml" Id="R720beb07ed5d4f97" /><Relationship Type="http://schemas.openxmlformats.org/officeDocument/2006/relationships/footer" Target="/word/footer1.xml" Id="Rda25850f47b24554" /><Relationship Type="http://schemas.openxmlformats.org/officeDocument/2006/relationships/footer" Target="/word/footer2.xml" Id="R4d7476996f774d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OfficeCLI/1.0.143</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2026-08-02T11:52:42Z</dcterms:created>
  <cp:lastModifiedBy>OfficeCLI</cp:lastModifiedBy>
  <dcterms:modified xsi:type="dcterms:W3CDTF">2026-08-02T11:52:42Z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1.0.143</vt:lpwstr>
  </op:property>
  <op:property fmtid="{D5CDD505-2E9C-101B-9397-08002B2CF9AE}" pid="3" name="OfficeCLI.LastModified">
    <vt:lpwstr xmlns:vt="http://schemas.openxmlformats.org/officeDocument/2006/docPropsVTypes">2026-08-02T11:53:10Z</vt:lpwstr>
  </op:property>
</op:Properties>
</file>