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707f54623c45e3" /><Relationship Type="http://schemas.openxmlformats.org/package/2006/relationships/metadata/core-properties" Target="/docProps/core.xml" Id="R5b85737788554a0d" /><Relationship Type="http://schemas.openxmlformats.org/officeDocument/2006/relationships/extended-properties" Target="/docProps/app.xml" Id="R16e311da7c5e43a9" /><Relationship Type="http://schemas.openxmlformats.org/officeDocument/2006/relationships/custom-properties" Target="/docProps/custom.xml" Id="R0c45ed6e0925450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Boutinly — Enterprise CRM Market Research &amp; Product Blueprint</w:t>
      </w:r>
    </w:p>
    <w:p w14:paraId="00100002" w14:textId="00100003">
      <w:pPr/>
      <w:r>
        <w:rPr>
          <w:i/>
        </w:rPr>
        <w:t xml:space="preserve">Prepared by Fizz for Boutinly · Boutinly CRM workspace · August 2, 2026</w:t>
      </w:r>
    </w:p>
    <w:p w14:paraId="00100004" w14:textId="00100005">
      <w:pPr>
        <w:pStyle w:val="Heading2"/>
      </w:pPr>
      <w:r>
        <w:rPr>
          <w:b/>
          <w:sz w:val="32"/>
        </w:rPr>
        <w:t xml:space="preserve">Executive Summary</w:t>
      </w:r>
    </w:p>
    <w:p w14:paraId="00100006" w14:textId="00100007">
      <w:pPr/>
      <w:r>
        <w:t xml:space="preserve">The global CRM software market is entering a second growth wave driven by AI-native workflows, agentic automation, and consolidation around a small set of platform leaders. Analyst estimates for 2026 cluster around </w:t>
      </w:r>
      <w:r>
        <w:rPr>
          <w:b/>
        </w:rPr>
        <w:t xml:space="preserve">$126–$135B</w:t>
      </w:r>
      <w:r>
        <w:t xml:space="preserve"> in core CRM software spend (broader "CRM + adjacent CX" definitions run as high as $334B), growing at a </w:t>
      </w:r>
      <w:r>
        <w:rPr>
          <w:b/>
        </w:rPr>
        <w:t xml:space="preserve">12–16% CAGR</w:t>
      </w:r>
      <w:r>
        <w:t xml:space="preserve"> through the early 2030s. Salesforce holds roughly one-fifth of the market outright, but growth is shifting toward challengers — HubSpot is growing 2–3x faster than the market leader, and Microsoft Dynamics 365 is winning through bundling rather than feature superiority.</w:t>
      </w:r>
    </w:p>
    <w:p w14:paraId="00100008" w14:textId="00100009">
      <w:pPr/>
      <w:r>
        <w:rPr/>
        <w:t xml:space="preserve">Three findings should directly shape Boutinly's roadmap:</w:t>
      </w:r>
    </w:p>
    <w:p w14:paraId="0010000A" w14:textId="0010000B">
      <w:pPr>
        <w:numPr>
          <w:ilvl w:val="0"/>
          <w:numId w:val="1"/>
        </w:numPr>
      </w:pPr>
      <w:r>
        <w:rPr>
          <w:b/>
        </w:rPr>
        <w:t xml:space="preserve">Security, integration, and real-time data sync are now table-stakes, not differentiators.</w:t>
      </w:r>
      <w:r>
        <w:t xml:space="preserve"> Every Big-4/consulting whitepaper reviewed treats them as the entry price for enterprise deals — the actual battleground has moved to agentic AI, personalization, and time-to-value.</w:t>
      </w:r>
    </w:p>
    <w:p w14:paraId="0010000C" w14:textId="0010000D">
      <w:pPr>
        <w:numPr>
          <w:ilvl w:val="0"/>
          <w:numId w:val="1"/>
        </w:numPr>
      </w:pPr>
      <w:r>
        <w:rPr>
          <w:b/>
        </w:rPr>
        <w:t xml:space="preserve">Consulting-firm research (PwC, McKinsey, Deloitte, KPMG, BCG) converges on one theme: AI foundations, not AI features, separate winners from laggards.</w:t>
      </w:r>
      <w:r>
        <w:t xml:space="preserve"> Only 26% of organizations report strong AI foundations across culture, data, and strategy — and those organizations are twice as likely to see revenue gains from AI investment (PwC, 2026).</w:t>
      </w:r>
    </w:p>
    <w:p w14:paraId="0010000E" w14:textId="0010000F">
      <w:pPr>
        <w:numPr>
          <w:ilvl w:val="0"/>
          <w:numId w:val="1"/>
        </w:numPr>
      </w:pPr>
      <w:r>
        <w:rPr>
          <w:b/>
        </w:rPr>
        <w:t xml:space="preserve">Enterprise buyers reward CRMs that reduce configuration and cognitive overhead</w:t>
      </w:r>
      <w:r>
        <w:t xml:space="preserve"> — role-based dashboards, predictable information architecture, and drag-and-drop pipeline views consistently outrank raw feature count in adoption studies.</w:t>
      </w:r>
    </w:p>
    <w:p w14:paraId="00100010" w14:textId="00100011">
      <w:pPr/>
      <w:r>
        <w:rPr/>
        <w:t xml:space="preserve">This document consolidates market sizing, a TAM/SAM/SOM framework, a non-negotiable feature checklist, whitepaper synthesis, enterprise UI/UX expectations, and the technical blueprint (PRD, system architecture, UML, DFD Levels 0–2, and system design) needed to plan Boutinly's enterprise CRM build.</w:t>
      </w:r>
    </w:p>
    <w:p w14:paraId="00100012" w14:textId="00100013">
      <w:pPr>
        <w:pBdr/>
      </w:pPr>
    </w:p>
    <w:p w14:paraId="00100014" w14:textId="00100015">
      <w:pPr>
        <w:pStyle w:val="Heading2"/>
      </w:pPr>
      <w:r>
        <w:rPr>
          <w:b/>
          <w:sz w:val="32"/>
        </w:rPr>
        <w:t xml:space="preserve">1. CRM Market Landscape</w:t>
      </w:r>
    </w:p>
    <w:p w14:paraId="00100016" w14:textId="00100017">
      <w:pPr>
        <w:pStyle w:val="Heading3"/>
      </w:pPr>
      <w:r>
        <w:rPr>
          <w:b/>
          <w:sz w:val="28"/>
        </w:rPr>
        <w:t xml:space="preserve">1.1 Market Size &amp; Growth Forecasts</w:t>
      </w:r>
    </w:p>
    <w:p w14:paraId="00100018" w14:textId="00100019">
      <w:pPr/>
      <w:r>
        <w:rPr/>
        <w:t xml:space="preserve">Analyst firms diverge on market size because they scope "CRM" differently (core sales-force-automation vs. the full CRM + marketing + service + CX suite). The table below summarizes the range so Boutinly can pick a defensible baseline.</w:t>
      </w:r>
    </w:p>
    <w:tbl>
      <w:tblPr>
        <w:tblW w:w="8305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p w14:paraId="0010001A" w14:textId="0010001B">
            <w:r>
              <w:t xml:space="preserve">Source / Methodology</w:t>
            </w:r>
          </w:p>
        </w:tc>
        <w:tc>
          <w:p w14:paraId="0010001C" w14:textId="0010001D">
            <w:r>
              <w:t xml:space="preserve">2025 Estimate</w:t>
            </w:r>
          </w:p>
        </w:tc>
        <w:tc>
          <w:p w14:paraId="0010001E" w14:textId="0010001F">
            <w:r>
              <w:t xml:space="preserve">2026 Estimate</w:t>
            </w:r>
          </w:p>
        </w:tc>
        <w:tc>
          <w:p w14:paraId="00100020" w14:textId="00100021">
            <w:r>
              <w:t xml:space="preserve">Longer-Term Forecast</w:t>
            </w:r>
          </w:p>
        </w:tc>
        <w:tc>
          <w:p w14:paraId="00100022" w14:textId="00100023">
            <w:r>
              <w:t xml:space="preserve">CAGR</w:t>
            </w:r>
          </w:p>
        </w:tc>
      </w:tr>
      <w:tr>
        <w:tc>
          <w:p w14:paraId="00100024" w14:textId="00100025">
            <w:r>
              <w:t xml:space="preserve">IDC-aligned market trackers (core CRM applications)</w:t>
            </w:r>
          </w:p>
        </w:tc>
        <w:tc>
          <w:p w14:paraId="00100026" w14:textId="00100027">
            <w:r>
              <w:t xml:space="preserve">~$110B</w:t>
            </w:r>
          </w:p>
        </w:tc>
        <w:tc>
          <w:p w14:paraId="00100028" w14:textId="00100029">
            <w:r>
              <w:t xml:space="preserve">~$126.2B</w:t>
            </w:r>
          </w:p>
        </w:tc>
        <w:tc>
          <w:p w14:paraId="0010002A" w14:textId="0010002B">
            <w:r>
              <w:t xml:space="preserve">$254.3B by 2032</w:t>
            </w:r>
          </w:p>
        </w:tc>
        <w:tc>
          <w:p w14:paraId="0010002C" w14:textId="0010002D">
            <w:r>
              <w:t xml:space="preserve">12.4%</w:t>
            </w:r>
          </w:p>
        </w:tc>
      </w:tr>
      <w:tr>
        <w:tc>
          <w:p w14:paraId="0010002E" w14:textId="0010002F">
            <w:r>
              <w:t xml:space="preserve">Broad CRM software market (incl. adjacent CX tooling)</w:t>
            </w:r>
          </w:p>
        </w:tc>
        <w:tc>
          <w:p w14:paraId="00100030" w14:textId="00100031">
            <w:r>
              <w:t xml:space="preserve">$287.3B</w:t>
            </w:r>
          </w:p>
        </w:tc>
        <w:tc>
          <w:p w14:paraId="00100032" w14:textId="00100033">
            <w:r>
              <w:t xml:space="preserve">$334.5B</w:t>
            </w:r>
          </w:p>
        </w:tc>
        <w:tc>
          <w:p w14:paraId="00100034" w14:textId="00100035">
            <w:r>
              <w:t xml:space="preserve">—</w:t>
            </w:r>
          </w:p>
        </w:tc>
        <w:tc>
          <w:p w14:paraId="00100036" w14:textId="00100037">
            <w:r>
              <w:t xml:space="preserve">16.4%</w:t>
            </w:r>
          </w:p>
        </w:tc>
      </w:tr>
      <w:tr>
        <w:tc>
          <w:p w14:paraId="00100038" w14:textId="00100039">
            <w:r>
              <w:t xml:space="preserve">Long-horizon CRM forecast</w:t>
            </w:r>
          </w:p>
        </w:tc>
        <w:tc>
          <w:p w14:paraId="0010003A" w14:textId="0010003B">
            <w:r>
              <w:t xml:space="preserve">—</w:t>
            </w:r>
          </w:p>
        </w:tc>
        <w:tc>
          <w:p w14:paraId="0010003C" w14:textId="0010003D">
            <w:r>
              <w:t xml:space="preserve">$126.17B</w:t>
            </w:r>
          </w:p>
        </w:tc>
        <w:tc>
          <w:p w14:paraId="0010003E" w14:textId="0010003F">
            <w:r>
              <w:t xml:space="preserve">$320.99B by 2034</w:t>
            </w:r>
          </w:p>
        </w:tc>
        <w:tc>
          <w:p w14:paraId="00100040" w14:textId="00100041">
            <w:r>
              <w:t xml:space="preserve">12.40%</w:t>
            </w:r>
          </w:p>
        </w:tc>
      </w:tr>
      <w:tr>
        <w:tc>
          <w:p w14:paraId="00100042" w14:textId="00100043">
            <w:r>
              <w:t xml:space="preserve">Conservative core-CRM forecast</w:t>
            </w:r>
          </w:p>
        </w:tc>
        <w:tc>
          <w:p w14:paraId="00100044" w14:textId="00100045">
            <w:r>
              <w:t xml:space="preserve">—</w:t>
            </w:r>
          </w:p>
        </w:tc>
        <w:tc>
          <w:p w14:paraId="00100046" w14:textId="00100047">
            <w:r>
              <w:t xml:space="preserve">$87.96B</w:t>
            </w:r>
          </w:p>
        </w:tc>
        <w:tc>
          <w:p w14:paraId="00100048" w14:textId="00100049">
            <w:r>
              <w:t xml:space="preserve">$128.86B by 2031</w:t>
            </w:r>
          </w:p>
        </w:tc>
        <w:tc>
          <w:p w14:paraId="0010004A" w14:textId="0010004B">
            <w:r>
              <w:t xml:space="preserve">~8%</w:t>
            </w:r>
          </w:p>
        </w:tc>
      </w:tr>
    </w:tbl>
    <w:p w14:paraId="0010004C" w14:textId="0010004D">
      <w:pPr/>
      <w:r>
        <w:rPr>
          <w:b/>
        </w:rPr>
        <w:t xml:space="preserve">Working baseline for Boutinly:</w:t>
      </w:r>
      <w:r>
        <w:t xml:space="preserve"> treat </w:t>
      </w:r>
      <w:r>
        <w:rPr>
          <w:b/>
        </w:rPr>
        <w:t xml:space="preserve">$126B (2026) → ~$255–320B (2032–34) at a 12–13% CAGR</w:t>
      </w:r>
      <w:r>
        <w:t xml:space="preserve"> as the core-CRM TAM, and flag the $334B figure as the ceiling if Boutinly expands into adjacent CX/marketing-automation territory.</w:t>
      </w:r>
    </w:p>
    <w:p w14:paraId="0010004E" w14:textId="0010004F">
      <w:pPr/>
      <w:r>
        <w:rPr>
          <w:b/>
        </w:rPr>
        <w:t xml:space="preserve">Growth drivers</w:t>
      </w:r>
      <w:r>
        <w:t xml:space="preserve"> cited consistently across sources: AI-driven customer insight and agentic automation, demand for hyper-personalized customer experience, the shift to cloud-native/multi-tenant CRM, deeper integration with ERP/finance/support stacks, and the continued expansion of remote and hybrid sales operations.</w:t>
      </w:r>
    </w:p>
    <w:p w14:paraId="00100050" w14:textId="00100051">
      <w:pPr>
        <w:pStyle w:val="Heading3"/>
      </w:pPr>
      <w:r>
        <w:rPr>
          <w:b/>
          <w:sz w:val="28"/>
        </w:rPr>
        <w:t xml:space="preserve">1.2 Market Share by Vendor (Global CRM Applications)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52" w14:textId="00100053">
            <w:r>
              <w:t xml:space="preserve">Vendor</w:t>
            </w:r>
          </w:p>
        </w:tc>
        <w:tc>
          <w:p w14:paraId="00100054" w14:textId="00100055">
            <w:r>
              <w:t xml:space="preserve">Est. Global Market Share (2025–26)</w:t>
            </w:r>
          </w:p>
        </w:tc>
        <w:tc>
          <w:p w14:paraId="00100056" w14:textId="00100057">
            <w:r>
              <w:t xml:space="preserve">YoY Growth</w:t>
            </w:r>
          </w:p>
        </w:tc>
        <w:tc>
          <w:p w14:paraId="00100058" w14:textId="00100059">
            <w:r>
              <w:t xml:space="preserve">Strategic Notes</w:t>
            </w:r>
          </w:p>
        </w:tc>
      </w:tr>
      <w:tr>
        <w:tc>
          <w:p w14:paraId="0010005A" w14:textId="0010005B">
            <w:r>
              <w:t xml:space="preserve">Salesforce</w:t>
            </w:r>
          </w:p>
        </w:tc>
        <w:tc>
          <w:p w14:paraId="0010005C" w14:textId="0010005D">
            <w:r>
              <w:t xml:space="preserve">20–21%</w:t>
            </w:r>
          </w:p>
        </w:tc>
        <w:tc>
          <w:p w14:paraId="0010005E" w14:textId="0010005F">
            <w:r>
              <w:t xml:space="preserve">8–11%</w:t>
            </w:r>
          </w:p>
        </w:tc>
        <w:tc>
          <w:p w14:paraId="00100060" w14:textId="00100061">
            <w:r>
              <w:t xml:space="preserve">Still larger than the next 4 competitors combined; FY2026 revenue ~$41.5B; share is slipping relatively (20.7% → 20.0%) only because the market is growing faster than Salesforce, not from churn</w:t>
            </w:r>
          </w:p>
        </w:tc>
      </w:tr>
      <w:tr>
        <w:tc>
          <w:p w14:paraId="00100062" w14:textId="00100063">
            <w:r>
              <w:t xml:space="preserve">HubSpot</w:t>
            </w:r>
          </w:p>
        </w:tc>
        <w:tc>
          <w:p w14:paraId="00100064" w14:textId="00100065">
            <w:r>
              <w:t xml:space="preserve">4–6% (up to 62% of SMB CRM installs)</w:t>
            </w:r>
          </w:p>
        </w:tc>
        <w:tc>
          <w:p w14:paraId="00100066" w14:textId="00100067">
            <w:r>
              <w:t xml:space="preserve">20–23%</w:t>
            </w:r>
          </w:p>
        </w:tc>
        <w:tc>
          <w:p w14:paraId="00100068" w14:textId="00100069">
            <w:r>
              <w:t xml:space="preserve">Dominant in SMB/mid-market; fastest-growing top-tier vendor</w:t>
            </w:r>
          </w:p>
        </w:tc>
      </w:tr>
      <w:tr>
        <w:tc>
          <w:p w14:paraId="0010006A" w14:textId="0010006B">
            <w:r>
              <w:t xml:space="preserve">Microsoft Dynamics 365</w:t>
            </w:r>
          </w:p>
        </w:tc>
        <w:tc>
          <w:p w14:paraId="0010006C" w14:textId="0010006D">
            <w:r>
              <w:t xml:space="preserve">~5.2%</w:t>
            </w:r>
          </w:p>
        </w:tc>
        <w:tc>
          <w:p w14:paraId="0010006E" w14:textId="0010006F">
            <w:r>
              <w:t xml:space="preserve">Steady</w:t>
            </w:r>
          </w:p>
        </w:tc>
        <w:tc>
          <w:p w14:paraId="00100070" w14:textId="00100071">
            <w:r>
              <w:t xml:space="preserve">68% of customers adopt via existing Microsoft 365 bundles — a distribution advantage, not a feature one</w:t>
            </w:r>
          </w:p>
        </w:tc>
      </w:tr>
      <w:tr>
        <w:tc>
          <w:p w14:paraId="00100072" w14:textId="00100073">
            <w:r>
              <w:t xml:space="preserve">Oracle CX</w:t>
            </w:r>
          </w:p>
        </w:tc>
        <w:tc>
          <w:p w14:paraId="00100074" w14:textId="00100075">
            <w:r>
              <w:t xml:space="preserve">~4.1%</w:t>
            </w:r>
          </w:p>
        </w:tc>
        <w:tc>
          <w:p w14:paraId="00100076" w14:textId="00100077">
            <w:r>
              <w:t xml:space="preserve">Flat–modest</w:t>
            </w:r>
          </w:p>
        </w:tc>
        <w:tc>
          <w:p w14:paraId="00100078" w14:textId="00100079">
            <w:r>
              <w:t xml:space="preserve">Strength in large, complex ERP-anchored enterprises</w:t>
            </w:r>
          </w:p>
        </w:tc>
      </w:tr>
      <w:tr>
        <w:tc>
          <w:p w14:paraId="0010007A" w14:textId="0010007B">
            <w:r>
              <w:t xml:space="preserve">Adobe</w:t>
            </w:r>
          </w:p>
        </w:tc>
        <w:tc>
          <w:p w14:paraId="0010007C" w14:textId="0010007D">
            <w:r>
              <w:t xml:space="preserve">~3.4%</w:t>
            </w:r>
          </w:p>
        </w:tc>
        <w:tc>
          <w:p w14:paraId="0010007E" w14:textId="0010007F">
            <w:r>
              <w:t xml:space="preserve">Modest</w:t>
            </w:r>
          </w:p>
        </w:tc>
        <w:tc>
          <w:p w14:paraId="00100080" w14:textId="00100081">
            <w:r>
              <w:t xml:space="preserve">Marketing-cloud-led CRM adjacency</w:t>
            </w:r>
          </w:p>
        </w:tc>
      </w:tr>
      <w:tr>
        <w:tc>
          <w:p w14:paraId="00100082" w14:textId="00100083">
            <w:r>
              <w:t xml:space="preserve">SAP</w:t>
            </w:r>
          </w:p>
        </w:tc>
        <w:tc>
          <w:p w14:paraId="00100084" w14:textId="00100085">
            <w:r>
              <w:t xml:space="preserve">~3.1%</w:t>
            </w:r>
          </w:p>
        </w:tc>
        <w:tc>
          <w:p w14:paraId="00100086" w14:textId="00100087">
            <w:r>
              <w:t xml:space="preserve">Flat</w:t>
            </w:r>
          </w:p>
        </w:tc>
        <w:tc>
          <w:p w14:paraId="00100088" w14:textId="00100089">
            <w:r>
              <w:t xml:space="preserve">ERP-anchored, enterprise-heavy</w:t>
            </w:r>
          </w:p>
        </w:tc>
      </w:tr>
      <w:tr>
        <w:tc>
          <w:p w14:paraId="0010008A" w14:textId="0010008B">
            <w:r>
              <w:t xml:space="preserve">Zoho + long tail (incl. category challengers)</w:t>
            </w:r>
          </w:p>
        </w:tc>
        <w:tc>
          <w:p w14:paraId="0010008C" w14:textId="0010008D">
            <w:r>
              <w:t xml:space="preserve">~55%+ combined</w:t>
            </w:r>
          </w:p>
        </w:tc>
        <w:tc>
          <w:p w14:paraId="0010008E" w14:textId="0010008F">
            <w:r>
              <w:t xml:space="preserve">Varies widely</w:t>
            </w:r>
          </w:p>
        </w:tc>
        <w:tc>
          <w:p w14:paraId="00100090" w14:textId="00100091">
            <w:r>
              <w:t xml:space="preserve">Highly fragmented — the single largest opportunity zone for a focused challenger like Boutinly</w:t>
            </w:r>
          </w:p>
        </w:tc>
      </w:tr>
    </w:tbl>
    <w:p w14:paraId="00100092" w14:textId="00100093">
      <w:pPr/>
      <w:r>
        <w:rPr>
          <w:b/>
        </w:rPr>
        <w:t xml:space="preserve">Read for Boutinly:</w:t>
      </w:r>
      <w:r>
        <w:t xml:space="preserve"> the top 6 vendors control well under half the market. The addressable opportunity is not "unseat Salesforce" — it's winning share in the fragmented long tail through faster time-to-value, sharper vertical/regional focus, and AI-native workflows the incumbents are retrofitting rather than designing for.</w:t>
      </w:r>
    </w:p>
    <w:p w14:paraId="00100094" w14:textId="00100095">
      <w:pPr/>
      <w:r>
        <w:rPr>
          <w:i/>
        </w:rPr>
        <w:t xml:space="preserve">(Sources for 1.1–1.2 consolidated in Appendix A.)</w:t>
      </w:r>
    </w:p>
    <w:p w14:paraId="00100096" w14:textId="00100097">
      <w:pPr>
        <w:pStyle w:val="Heading3"/>
      </w:pPr>
      <w:r>
        <w:rPr>
          <w:b/>
          <w:sz w:val="28"/>
        </w:rPr>
        <w:t xml:space="preserve">1.3 TAM / SAM / SOM Framework</w:t>
      </w:r>
    </w:p>
    <w:p w14:paraId="00100098" w14:textId="00100099">
      <w:pPr/>
      <w:r>
        <w:t xml:space="preserve">Public data doesn't break the CRM market into TAM/SAM/SOM directly — that segmentation is specific to Boutinly's chosen ICP (industry, company size, geography). The table below is a </w:t>
      </w:r>
      <w:r>
        <w:rPr>
          <w:b/>
        </w:rPr>
        <w:t xml:space="preserve">modeled framework</w:t>
      </w:r>
      <w:r>
        <w:t xml:space="preserve"> using conservative, industry-typical segmentation ratios; treat the SAM/SOM rows as placeholders to be refined once Boutinly locks its initial target segment (recommended starting point: mid-market and lower-enterprise B2B companies, 50–2,000 employees).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9A" w14:textId="0010009B">
            <w:r>
              <w:t xml:space="preserve">Layer</w:t>
            </w:r>
          </w:p>
        </w:tc>
        <w:tc>
          <w:p w14:paraId="0010009C" w14:textId="0010009D">
            <w:r>
              <w:t xml:space="preserve">Definition</w:t>
            </w:r>
          </w:p>
        </w:tc>
        <w:tc>
          <w:p w14:paraId="0010009E" w14:textId="0010009F">
            <w:r>
              <w:t xml:space="preserve">Illustrative 2026 Value</w:t>
            </w:r>
          </w:p>
        </w:tc>
        <w:tc>
          <w:p w14:paraId="001000A0" w14:textId="001000A1">
            <w:r>
              <w:t xml:space="preserve">Basis</w:t>
            </w:r>
          </w:p>
        </w:tc>
      </w:tr>
      <w:tr>
        <w:tc>
          <w:p w14:paraId="001000A2" w14:textId="001000A3">
            <w:r>
              <w:t xml:space="preserve">TAM — Total Addressable Market</w:t>
            </w:r>
          </w:p>
        </w:tc>
        <w:tc>
          <w:p w14:paraId="001000A4" w14:textId="001000A5">
            <w:r>
              <w:t xml:space="preserve">Global CRM software spend, all vendors, all segments</w:t>
            </w:r>
          </w:p>
        </w:tc>
        <w:tc>
          <w:p w14:paraId="001000A6" w14:textId="001000A7">
            <w:r>
              <w:t xml:space="preserve">~$126B (core), up to $334B (broad CX)</w:t>
            </w:r>
          </w:p>
        </w:tc>
        <w:tc>
          <w:p w14:paraId="001000A8" w14:textId="001000A9">
            <w:r>
              <w:t xml:space="preserve">Section 1.1 analyst consensus</w:t>
            </w:r>
          </w:p>
        </w:tc>
      </w:tr>
      <w:tr>
        <w:tc>
          <w:p w14:paraId="001000AA" w14:textId="001000AB">
            <w:r>
              <w:t xml:space="preserve">SAM — Serviceable Addressable Market</w:t>
            </w:r>
          </w:p>
        </w:tc>
        <w:tc>
          <w:p w14:paraId="001000AC" w14:textId="001000AD">
            <w:r>
              <w:t xml:space="preserve">Mid-market + enterprise B2B CRM spend, cloud-native/multi-tenant deployable, in Boutinly's initial go-to-market geographies</w:t>
            </w:r>
          </w:p>
        </w:tc>
        <w:tc>
          <w:p w14:paraId="001000AE" w14:textId="001000AF">
            <w:r>
              <w:t xml:space="preserve">~$40–55B (≈32–44% of TAM)</w:t>
            </w:r>
          </w:p>
        </w:tc>
        <w:tc>
          <w:p w14:paraId="001000B0" w14:textId="001000B1">
            <w:r>
              <w:t xml:space="preserve">Mid-market/enterprise typically represents 35–45% of CRM spend industry-wide; SMB-only and highly-regulated/on-prem-only segments excluded</w:t>
            </w:r>
          </w:p>
        </w:tc>
      </w:tr>
      <w:tr>
        <w:tc>
          <w:p w14:paraId="001000B2" w14:textId="001000B3">
            <w:r>
              <w:t xml:space="preserve">SOM — Serviceable Obtainable Market</w:t>
            </w:r>
          </w:p>
        </w:tc>
        <w:tc>
          <w:p w14:paraId="001000B4" w14:textId="001000B5">
            <w:r>
              <w:t xml:space="preserve">Realistic 3–5 year capture given a focused, single-region or single-vertical launch</w:t>
            </w:r>
          </w:p>
        </w:tc>
        <w:tc>
          <w:p w14:paraId="001000B6" w14:textId="001000B7">
            <w:r>
              <w:t xml:space="preserve">~$150M–$400M (≈0.3–1.0% of SAM)</w:t>
            </w:r>
          </w:p>
        </w:tc>
        <w:tc>
          <w:p w14:paraId="001000B8" w14:textId="001000B9">
            <w:r>
              <w:t xml:space="preserve">Typical obtainable share for a well-executed challenger entering a fragmented long-tail market (see 1.2) within a 3–5 year horizon</w:t>
            </w:r>
          </w:p>
        </w:tc>
      </w:tr>
    </w:tbl>
    <w:p w14:paraId="001000BA" w14:textId="001000BB">
      <w:pPr/>
      <w:r>
        <w:rPr>
          <w:b/>
        </w:rPr>
        <w:t xml:space="preserve">Recommendation:</w:t>
      </w:r>
      <w:r>
        <w:t xml:space="preserve"> Re-run this model once Boutinly confirms (a) target industries/verticals, (b) launch geography, and (c) whether the product competes on price (SMB-up) or depth (enterprise-down). Each choice moves the SAM by 10–20 points.</w:t>
      </w:r>
    </w:p>
    <w:p w14:paraId="001000BC" w14:textId="001000BD">
      <w:pPr>
        <w:pBdr/>
      </w:pPr>
    </w:p>
    <w:p w14:paraId="001000BE" w14:textId="001000BF">
      <w:pPr>
        <w:pStyle w:val="Heading2"/>
      </w:pPr>
      <w:r>
        <w:rPr>
          <w:b/>
          <w:sz w:val="32"/>
        </w:rPr>
        <w:t xml:space="preserve">2. Non-Negotiable CRM Features (Enterprise-Grade)</w:t>
      </w:r>
    </w:p>
    <w:p w14:paraId="001000C0" w14:textId="001000C1">
      <w:pPr/>
      <w:r>
        <w:t xml:space="preserve">Features enterprise buyers treat as </w:t>
      </w:r>
      <w:r>
        <w:rPr>
          <w:b/>
        </w:rPr>
        <w:t xml:space="preserve">disqualifying if absent</w:t>
      </w:r>
      <w:r>
        <w:t xml:space="preserve"> — not differentiators, entry requirements.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C2" w14:textId="001000C3">
            <w:r>
              <w:t xml:space="preserve">Category</w:t>
            </w:r>
          </w:p>
        </w:tc>
        <w:tc>
          <w:p w14:paraId="001000C4" w14:textId="001000C5">
            <w:r>
              <w:t xml:space="preserve">Non-Negotiable Feature</w:t>
            </w:r>
          </w:p>
        </w:tc>
        <w:tc>
          <w:p w14:paraId="001000C6" w14:textId="001000C7">
            <w:r>
              <w:t xml:space="preserve">Why It's Non-Negotiable</w:t>
            </w:r>
          </w:p>
        </w:tc>
      </w:tr>
      <w:tr>
        <w:tc>
          <w:p w14:paraId="001000C8" w14:textId="001000C9">
            <w:r>
              <w:t xml:space="preserve">Security &amp; Compliance</w:t>
            </w:r>
          </w:p>
        </w:tc>
        <w:tc>
          <w:p w14:paraId="001000CA" w14:textId="001000CB">
            <w:r>
              <w:t xml:space="preserve">Role-based access control (RBAC), field-level permissions</w:t>
            </w:r>
          </w:p>
        </w:tc>
        <w:tc>
          <w:p w14:paraId="001000CC" w14:textId="001000CD">
            <w:r>
              <w:t xml:space="preserve">Prevents data leakage across teams/territories; required for any multi-department rollout</w:t>
            </w:r>
          </w:p>
        </w:tc>
      </w:tr>
      <w:tr>
        <w:tc>
          <w:p w14:paraId="001000CE" w14:textId="001000CF">
            <w:r>
              <w:t xml:space="preserve">Security &amp; Compliance</w:t>
            </w:r>
          </w:p>
        </w:tc>
        <w:tc>
          <w:p w14:paraId="001000D0" w14:textId="001000D1">
            <w:r>
              <w:t xml:space="preserve">Full audit logging</w:t>
            </w:r>
          </w:p>
        </w:tc>
        <w:tc>
          <w:p w14:paraId="001000D2" w14:textId="001000D3">
            <w:r>
              <w:t xml:space="preserve">Required for SOC 2, ISO 27001, and internal governance; forensic trail for every record change</w:t>
            </w:r>
          </w:p>
        </w:tc>
      </w:tr>
      <w:tr>
        <w:tc>
          <w:p w14:paraId="001000D4" w14:textId="001000D5">
            <w:r>
              <w:t xml:space="preserve">Security &amp; Compliance</w:t>
            </w:r>
          </w:p>
        </w:tc>
        <w:tc>
          <w:p w14:paraId="001000D6" w14:textId="001000D7">
            <w:r>
              <w:t xml:space="preserve">GDPR / regional data-residency compliance</w:t>
            </w:r>
          </w:p>
        </w:tc>
        <w:tc>
          <w:p w14:paraId="001000D8" w14:textId="001000D9">
            <w:r>
              <w:t xml:space="preserve">Legally required wherever EU or regulated-industry customers exist</w:t>
            </w:r>
          </w:p>
        </w:tc>
      </w:tr>
      <w:tr>
        <w:tc>
          <w:p w14:paraId="001000DA" w14:textId="001000DB">
            <w:r>
              <w:t xml:space="preserve">Security &amp; Compliance</w:t>
            </w:r>
          </w:p>
        </w:tc>
        <w:tc>
          <w:p w14:paraId="001000DC" w14:textId="001000DD">
            <w:r>
              <w:t xml:space="preserve">SOC 2 Type II (or equivalent) certification</w:t>
            </w:r>
          </w:p>
        </w:tc>
        <w:tc>
          <w:p w14:paraId="001000DE" w14:textId="001000DF">
            <w:r>
              <w:t xml:space="preserve">Procurement teams block vendors without it — it's a pre-sales gate, not a nice-to-have</w:t>
            </w:r>
          </w:p>
        </w:tc>
      </w:tr>
      <w:tr>
        <w:tc>
          <w:p w14:paraId="001000E0" w14:textId="001000E1">
            <w:r>
              <w:t xml:space="preserve">Data &amp; Integration</w:t>
            </w:r>
          </w:p>
        </w:tc>
        <w:tc>
          <w:p w14:paraId="001000E2" w14:textId="001000E3">
            <w:r>
              <w:t xml:space="preserve">Native ERP / finance / support / HRMS integrations</w:t>
            </w:r>
          </w:p>
        </w:tc>
        <w:tc>
          <w:p w14:paraId="001000E4" w14:textId="001000E5">
            <w:r>
              <w:t xml:space="preserve">Enterprises already run a stack; a CRM that doesn't connect creates a new silo instead of removing one</w:t>
            </w:r>
          </w:p>
        </w:tc>
      </w:tr>
      <w:tr>
        <w:tc>
          <w:p w14:paraId="001000E6" w14:textId="001000E7">
            <w:r>
              <w:t xml:space="preserve">Data &amp; Integration</w:t>
            </w:r>
          </w:p>
        </w:tc>
        <w:tc>
          <w:p w14:paraId="001000E8" w14:textId="001000E9">
            <w:r>
              <w:t xml:space="preserve">Real-time, bidirectional data sync</w:t>
            </w:r>
          </w:p>
        </w:tc>
        <w:tc>
          <w:p w14:paraId="001000EA" w14:textId="001000EB">
            <w:r>
              <w:t xml:space="preserve">Eliminates stale/duplicate records across systems — the #1 cause of enterprise CRM distrust</w:t>
            </w:r>
          </w:p>
        </w:tc>
      </w:tr>
      <w:tr>
        <w:tc>
          <w:p w14:paraId="001000EC" w14:textId="001000ED">
            <w:r>
              <w:t xml:space="preserve">Data &amp; Integration</w:t>
            </w:r>
          </w:p>
        </w:tc>
        <w:tc>
          <w:p w14:paraId="001000EE" w14:textId="001000EF">
            <w:r>
              <w:t xml:space="preserve">Frictionless data export / no lock-in</w:t>
            </w:r>
          </w:p>
        </w:tc>
        <w:tc>
          <w:p w14:paraId="001000F0" w14:textId="001000F1">
            <w:r>
              <w:t xml:space="preserve">Procurement and legal require an exit path before they'll sign</w:t>
            </w:r>
          </w:p>
        </w:tc>
      </w:tr>
      <w:tr>
        <w:tc>
          <w:p w14:paraId="001000F2" w14:textId="001000F3">
            <w:r>
              <w:t xml:space="preserve">Sales Automation</w:t>
            </w:r>
          </w:p>
        </w:tc>
        <w:tc>
          <w:p w14:paraId="001000F4" w14:textId="001000F5">
            <w:r>
              <w:t xml:space="preserve">Automatic activity capture (email, calls, meetings) logged to the right record</w:t>
            </w:r>
          </w:p>
        </w:tc>
        <w:tc>
          <w:p w14:paraId="001000F6" w14:textId="001000F7">
            <w:r>
              <w:t xml:space="preserve">Manual logging is the top reason reps abandon a CRM — automation is what makes adoption stick</w:t>
            </w:r>
          </w:p>
        </w:tc>
      </w:tr>
      <w:tr>
        <w:tc>
          <w:p w14:paraId="001000F8" w14:textId="001000F9">
            <w:r>
              <w:t xml:space="preserve">Sales Automation</w:t>
            </w:r>
          </w:p>
        </w:tc>
        <w:tc>
          <w:p w14:paraId="001000FA" w14:textId="001000FB">
            <w:r>
              <w:t xml:space="preserve">Visual, drag-and-drop pipeline by stage</w:t>
            </w:r>
          </w:p>
        </w:tc>
        <w:tc>
          <w:p w14:paraId="001000FC" w14:textId="001000FD">
            <w:r>
              <w:t xml:space="preserve">Weak pipeline UX is repeatedly cited as the number-one reason CRMs go unused</w:t>
            </w:r>
          </w:p>
        </w:tc>
      </w:tr>
      <w:tr>
        <w:tc>
          <w:p w14:paraId="001000FE" w14:textId="001000FF">
            <w:r>
              <w:t xml:space="preserve">Sales Automation</w:t>
            </w:r>
          </w:p>
        </w:tc>
        <w:tc>
          <w:p w14:paraId="00100100" w14:textId="00100101">
            <w:r>
              <w:t xml:space="preserve">Configurable approval workflows</w:t>
            </w:r>
          </w:p>
        </w:tc>
        <w:tc>
          <w:p w14:paraId="00100102" w14:textId="00100103">
            <w:r>
              <w:t xml:space="preserve">Enterprise deals require multi-level sign-off (discounting, contracts) baked into process, not spreadsheets</w:t>
            </w:r>
          </w:p>
        </w:tc>
      </w:tr>
      <w:tr>
        <w:tc>
          <w:p w14:paraId="00100104" w14:textId="00100105">
            <w:r>
              <w:t xml:space="preserve">Scalability &amp; Support</w:t>
            </w:r>
          </w:p>
        </w:tc>
        <w:tc>
          <w:p w14:paraId="00100106" w14:textId="00100107">
            <w:r>
              <w:t xml:space="preserve">Proven large-dataset performance (millions of records, thousands of concurrent users)</w:t>
            </w:r>
          </w:p>
        </w:tc>
        <w:tc>
          <w:p w14:paraId="00100108" w14:textId="00100109">
            <w:r>
              <w:t xml:space="preserve">Enterprise rollouts fail silently when performance degrades past pilot scale</w:t>
            </w:r>
          </w:p>
        </w:tc>
      </w:tr>
      <w:tr>
        <w:tc>
          <w:p w14:paraId="0010010A" w14:textId="0010010B">
            <w:r>
              <w:t xml:space="preserve">Scalability &amp; Support</w:t>
            </w:r>
          </w:p>
        </w:tc>
        <w:tc>
          <w:p w14:paraId="0010010C" w14:textId="0010010D">
            <w:r>
              <w:t xml:space="preserve">Real, responsive vendor support (not ticket-only)</w:t>
            </w:r>
          </w:p>
        </w:tc>
        <w:tc>
          <w:p w14:paraId="0010010E" w14:textId="0010010F">
            <w:r>
              <w:t xml:space="preserve">Rollouts to hundreds/thousands of users need a human escalation path when things break</w:t>
            </w:r>
          </w:p>
        </w:tc>
      </w:tr>
      <w:tr>
        <w:tc>
          <w:p w14:paraId="00100110" w14:textId="00100111">
            <w:r>
              <w:t xml:space="preserve">Analytics</w:t>
            </w:r>
          </w:p>
        </w:tc>
        <w:tc>
          <w:p w14:paraId="00100112" w14:textId="00100113">
            <w:r>
              <w:t xml:space="preserve">Trustworthy, role-aware reporting leadership can act on</w:t>
            </w:r>
          </w:p>
        </w:tc>
        <w:tc>
          <w:p w14:paraId="00100114" w14:textId="00100115">
            <w:r>
              <w:t xml:space="preserve">Forecast credibility is a leadership-level trust issue, not just a reporting feature</w:t>
            </w:r>
          </w:p>
        </w:tc>
      </w:tr>
    </w:tbl>
    <w:p w14:paraId="00100116" w14:textId="00100117">
      <w:pPr>
        <w:pBdr/>
      </w:pPr>
    </w:p>
    <w:p w14:paraId="00100118" w14:textId="00100119">
      <w:pPr>
        <w:pStyle w:val="Heading2"/>
      </w:pPr>
      <w:r>
        <w:rPr>
          <w:b/>
          <w:sz w:val="32"/>
        </w:rPr>
        <w:t xml:space="preserve">3. Insights from Leading Consulting Whitepapers</w:t>
      </w:r>
    </w:p>
    <w:p w14:paraId="0010011A" w14:textId="0010011B">
      <w:pPr>
        <w:pStyle w:val="Heading3"/>
      </w:pPr>
      <w:r>
        <w:rPr>
          <w:b/>
          <w:sz w:val="28"/>
        </w:rPr>
        <w:t xml:space="preserve">3.1 PwC — 29th Global CEO Survey (2026)</w:t>
      </w:r>
    </w:p>
    <w:p w14:paraId="0010011C" w14:textId="0010011D">
      <w:pPr>
        <w:numPr>
          <w:ilvl w:val="0"/>
          <w:numId w:val="2"/>
        </w:numPr>
      </w:pPr>
      <w:r>
        <w:t xml:space="preserve">Only </w:t>
      </w:r>
      <w:r>
        <w:rPr>
          <w:b/>
        </w:rPr>
        <w:t xml:space="preserve">30% of CEOs</w:t>
      </w:r>
      <w:r>
        <w:t xml:space="preserve"> are confident about revenue growth over the next 12 months — down from 38% (2025) and 56% (2022), driven partly by uneven AI ROI.</w:t>
      </w:r>
    </w:p>
    <w:p w14:paraId="0010011E" w14:textId="0010011F">
      <w:pPr>
        <w:numPr>
          <w:ilvl w:val="0"/>
          <w:numId w:val="2"/>
        </w:numPr>
      </w:pPr>
      <w:r>
        <w:t xml:space="preserve">Only </w:t>
      </w:r>
      <w:r>
        <w:rPr>
          <w:b/>
        </w:rPr>
        <w:t xml:space="preserve">12% of CEOs</w:t>
      </w:r>
      <w:r>
        <w:t xml:space="preserve"> report AI has delivered </w:t>
      </w:r>
      <w:r>
        <w:rPr>
          <w:i/>
        </w:rPr>
        <w:t xml:space="preserve">both</w:t>
      </w:r>
      <w:r>
        <w:t xml:space="preserve"> cost savings and revenue benefit in the past year.</w:t>
      </w:r>
    </w:p>
    <w:p w14:paraId="00100120" w14:textId="00100121">
      <w:pPr>
        <w:numPr>
          <w:ilvl w:val="0"/>
          <w:numId w:val="2"/>
        </w:numPr>
      </w:pPr>
      <w:r>
        <w:t xml:space="preserve">Only </w:t>
      </w:r>
      <w:r>
        <w:rPr>
          <w:b/>
        </w:rPr>
        <w:t xml:space="preserve">26% of organizations</w:t>
      </w:r>
      <w:r>
        <w:t xml:space="preserve"> report strong AI foundations (culture, tech environment, strategy, responsible AI, talent, investment, data) across at least 6 of 7 core areas — and those organizations are </w:t>
      </w:r>
      <w:r>
        <w:rPr>
          <w:b/>
        </w:rPr>
        <w:t xml:space="preserve">twice as likely</w:t>
      </w:r>
      <w:r>
        <w:t xml:space="preserve"> to see AI-driven revenue and cost gains.</w:t>
      </w:r>
    </w:p>
    <w:p w14:paraId="00100122" w14:textId="00100123">
      <w:pPr>
        <w:numPr>
          <w:ilvl w:val="0"/>
          <w:numId w:val="2"/>
        </w:numPr>
      </w:pPr>
      <w:r>
        <w:rPr>
          <w:b/>
        </w:rPr>
        <w:t xml:space="preserve">Implication for Boutinly:</w:t>
      </w:r>
      <w:r>
        <w:t xml:space="preserve"> don't sell "AI features" — sell AI </w:t>
      </w:r>
      <w:r>
        <w:rPr>
          <w:i/>
        </w:rPr>
        <w:t xml:space="preserve">foundations</w:t>
      </w:r>
      <w:r>
        <w:t xml:space="preserve"> (clean data model, governed automation, explainable outputs). That's what separates the 26% who see ROI from everyone else.</w:t>
      </w:r>
    </w:p>
    <w:p w14:paraId="00100124" w14:textId="00100125">
      <w:pPr>
        <w:pStyle w:val="Heading3"/>
      </w:pPr>
      <w:r>
        <w:rPr>
          <w:b/>
          <w:sz w:val="28"/>
        </w:rPr>
        <w:t xml:space="preserve">3.2 McKinsey — CX, Personalization &amp; AI-Driven CRM</w:t>
      </w:r>
    </w:p>
    <w:p w14:paraId="00100126" w14:textId="00100127">
      <w:pPr>
        <w:numPr>
          <w:ilvl w:val="0"/>
          <w:numId w:val="3"/>
        </w:numPr>
      </w:pPr>
      <w:r>
        <w:t xml:space="preserve">Improving client experience can lift sales revenue </w:t>
      </w:r>
      <w:r>
        <w:rPr>
          <w:b/>
        </w:rPr>
        <w:t xml:space="preserve">2–7%</w:t>
      </w:r>
      <w:r>
        <w:t xml:space="preserve"> and shareholder return </w:t>
      </w:r>
      <w:r>
        <w:rPr>
          <w:b/>
        </w:rPr>
        <w:t xml:space="preserve">7–10%</w:t>
      </w:r>
      <w:r>
        <w:t xml:space="preserve">.</w:t>
      </w:r>
    </w:p>
    <w:p w14:paraId="00100128" w14:textId="00100129">
      <w:pPr>
        <w:numPr>
          <w:ilvl w:val="0"/>
          <w:numId w:val="3"/>
        </w:numPr>
      </w:pPr>
      <w:r>
        <w:rPr>
          <w:b/>
        </w:rPr>
        <w:t xml:space="preserve">76%</w:t>
      </w:r>
      <w:r>
        <w:t xml:space="preserve"> of consumers say personalization influences purchase consideration; </w:t>
      </w:r>
      <w:r>
        <w:rPr>
          <w:b/>
        </w:rPr>
        <w:t xml:space="preserve">78%</w:t>
      </w:r>
      <w:r>
        <w:t xml:space="preserve"> say it increases purchase likelihood (McKinsey, </w:t>
      </w:r>
      <w:r>
        <w:rPr>
          <w:i/>
        </w:rPr>
        <w:t xml:space="preserve">The Value of Getting Personalization Right — or Wrong — Is Multiplying</w:t>
      </w:r>
      <w:r>
        <w:t xml:space="preserve">).</w:t>
      </w:r>
    </w:p>
    <w:p w14:paraId="0010012A" w14:textId="0010012B">
      <w:pPr>
        <w:numPr>
          <w:ilvl w:val="0"/>
          <w:numId w:val="3"/>
        </w:numPr>
      </w:pPr>
      <w:r>
        <w:rPr/>
        <w:t xml:space="preserve">McKinsey's CRM operating model: collect → analyze → develop campaigns → statistically test → execute → track and refine — a closed feedback loop, not a one-way broadcast tool.</w:t>
      </w:r>
    </w:p>
    <w:p w14:paraId="0010012C" w14:textId="0010012D">
      <w:pPr>
        <w:numPr>
          <w:ilvl w:val="0"/>
          <w:numId w:val="3"/>
        </w:numPr>
      </w:pPr>
      <w:r>
        <w:rPr>
          <w:b/>
        </w:rPr>
        <w:t xml:space="preserve">Implication for Boutinly:</w:t>
      </w:r>
      <w:r>
        <w:t xml:space="preserve"> personalization and closed-loop analytics aren't marketing add-ons — they're core CRM value drivers with McKinsey-quantified revenue impact.</w:t>
      </w:r>
    </w:p>
    <w:p w14:paraId="0010012E" w14:textId="0010012F">
      <w:pPr>
        <w:pStyle w:val="Heading3"/>
      </w:pPr>
      <w:r>
        <w:rPr>
          <w:b/>
          <w:sz w:val="28"/>
        </w:rPr>
        <w:t xml:space="preserve">3.3 Deloitte — Customer Service Excellence 2025 / CX Study 2025</w:t>
      </w:r>
    </w:p>
    <w:p w14:paraId="00100130" w14:textId="00100131">
      <w:pPr>
        <w:numPr>
          <w:ilvl w:val="0"/>
          <w:numId w:val="4"/>
        </w:numPr>
      </w:pPr>
      <w:r>
        <w:rPr>
          <w:b/>
        </w:rPr>
        <w:t xml:space="preserve">92%</w:t>
      </w:r>
      <w:r>
        <w:t xml:space="preserve"> of surveyed companies rate CX as a high priority — but perception of CX maturity diverges sharply by org level (leadership overestimates maturity vs. frontline reality).</w:t>
      </w:r>
    </w:p>
    <w:p w14:paraId="00100132" w14:textId="00100133">
      <w:pPr>
        <w:numPr>
          <w:ilvl w:val="0"/>
          <w:numId w:val="4"/>
        </w:numPr>
      </w:pPr>
      <w:r>
        <w:t xml:space="preserve">Winning on CX now requires orchestrating the </w:t>
      </w:r>
      <w:r>
        <w:rPr>
          <w:b/>
        </w:rPr>
        <w:t xml:space="preserve">end-to-end journey</w:t>
      </w:r>
      <w:r>
        <w:t xml:space="preserve"> across both customer and employee experience, powered by AI and channel maturity.</w:t>
      </w:r>
    </w:p>
    <w:p w14:paraId="00100134" w14:textId="00100135">
      <w:pPr>
        <w:numPr>
          <w:ilvl w:val="0"/>
          <w:numId w:val="4"/>
        </w:numPr>
      </w:pPr>
      <w:r>
        <w:rPr>
          <w:b/>
        </w:rPr>
        <w:t xml:space="preserve">Implication for Boutinly:</w:t>
      </w:r>
      <w:r>
        <w:t xml:space="preserve"> the CRM must give frontline and leadership the </w:t>
      </w:r>
      <w:r>
        <w:rPr>
          <w:i/>
        </w:rPr>
        <w:t xml:space="preserve">same</w:t>
      </w:r>
      <w:r>
        <w:t xml:space="preserve"> ground-truth view — dashboards that flatter leadership erode trust once the gap surfaces.</w:t>
      </w:r>
    </w:p>
    <w:p w14:paraId="00100136" w14:textId="00100137">
      <w:pPr>
        <w:pStyle w:val="Heading3"/>
      </w:pPr>
      <w:r>
        <w:rPr>
          <w:b/>
          <w:sz w:val="28"/>
        </w:rPr>
        <w:t xml:space="preserve">3.4 KPMG — Global Customer Experience Excellence 2025–2026</w:t>
      </w:r>
    </w:p>
    <w:p w14:paraId="00100138" w14:textId="00100139">
      <w:pPr>
        <w:numPr>
          <w:ilvl w:val="0"/>
          <w:numId w:val="5"/>
        </w:numPr>
      </w:pPr>
      <w:r>
        <w:t xml:space="preserve">16th-year benchmark study, 80,000+ consumers across 16 markets; 2025–26 theme: </w:t>
      </w:r>
      <w:r>
        <w:rPr>
          <w:b/>
        </w:rPr>
        <w:t xml:space="preserve">"Total Experience"</w:t>
      </w:r>
      <w:r>
        <w:t xml:space="preserve"> — aligning customer, employee, partner, and ecosystem interactions around agentic AI.</w:t>
      </w:r>
    </w:p>
    <w:p w14:paraId="0010013A" w14:textId="0010013B">
      <w:pPr>
        <w:numPr>
          <w:ilvl w:val="0"/>
          <w:numId w:val="5"/>
        </w:numPr>
      </w:pPr>
      <w:r>
        <w:rPr/>
        <w:t xml:space="preserve">CX is scored across six pillars: personalization, integrity, expectations, time &amp; effort, resolution, empathy.</w:t>
      </w:r>
    </w:p>
    <w:p w14:paraId="0010013C" w14:textId="0010013D">
      <w:pPr>
        <w:numPr>
          <w:ilvl w:val="0"/>
          <w:numId w:val="5"/>
        </w:numPr>
      </w:pPr>
      <w:r>
        <w:t xml:space="preserve">Organizations investing in </w:t>
      </w:r>
      <w:r>
        <w:rPr>
          <w:b/>
        </w:rPr>
        <w:t xml:space="preserve">trust, personalization, and integration outperform peers</w:t>
      </w:r>
      <w:r>
        <w:t xml:space="preserve">; laggards see a widening gap.</w:t>
      </w:r>
    </w:p>
    <w:p w14:paraId="0010013E" w14:textId="0010013F">
      <w:pPr>
        <w:numPr>
          <w:ilvl w:val="0"/>
          <w:numId w:val="5"/>
        </w:numPr>
      </w:pPr>
      <w:r>
        <w:rPr>
          <w:b/>
        </w:rPr>
        <w:t xml:space="preserve">Implication for Boutinly:</w:t>
      </w:r>
      <w:r>
        <w:t xml:space="preserve"> KPMG's six pillars double as a usable CRM feature/UX scoring rubric — worth adopting internally for QA.</w:t>
      </w:r>
    </w:p>
    <w:p w14:paraId="00100140" w14:textId="00100141">
      <w:pPr>
        <w:pStyle w:val="Heading3"/>
      </w:pPr>
      <w:r>
        <w:rPr>
          <w:b/>
          <w:sz w:val="28"/>
        </w:rPr>
        <w:t xml:space="preserve">3.5 BCG — How AI Agents Will Transform B2B Sales (2025)</w:t>
      </w:r>
    </w:p>
    <w:p w14:paraId="00100142" w14:textId="00100143">
      <w:pPr>
        <w:numPr>
          <w:ilvl w:val="0"/>
          <w:numId w:val="6"/>
        </w:numPr>
      </w:pPr>
      <w:r>
        <w:t xml:space="preserve">Defines a maturity ladder: </w:t>
      </w:r>
      <w:r>
        <w:rPr>
          <w:b/>
        </w:rPr>
        <w:t xml:space="preserve">assisted selling</w:t>
      </w:r>
      <w:r>
        <w:t xml:space="preserve"> (AI listens, prompts, drafts follow-ups, auto-updates CRM/ERP) → </w:t>
      </w:r>
      <w:r>
        <w:rPr>
          <w:b/>
        </w:rPr>
        <w:t xml:space="preserve">autonomous selling</w:t>
      </w:r>
      <w:r>
        <w:t xml:space="preserve"> (AI independently engages customers, prioritizes inbound demand, qualifies opportunities across email/chat/voice/video).</w:t>
      </w:r>
    </w:p>
    <w:p w14:paraId="00100144" w14:textId="00100145">
      <w:pPr>
        <w:numPr>
          <w:ilvl w:val="0"/>
          <w:numId w:val="6"/>
        </w:numPr>
      </w:pPr>
      <w:r>
        <w:t xml:space="preserve">Industry data cited alongside: AI-powered next-best-action programs deliver </w:t>
      </w:r>
      <w:r>
        <w:rPr>
          <w:b/>
        </w:rPr>
        <w:t xml:space="preserve">5–8% revenue uplift</w:t>
      </w:r>
      <w:r>
        <w:t xml:space="preserve"> and </w:t>
      </w:r>
      <w:r>
        <w:rPr>
          <w:b/>
        </w:rPr>
        <w:t xml:space="preserve">20–30% lower cost-to-serve</w:t>
      </w:r>
      <w:r>
        <w:t xml:space="preserve">.</w:t>
      </w:r>
    </w:p>
    <w:p w14:paraId="00100146" w14:textId="00100147">
      <w:pPr>
        <w:numPr>
          <w:ilvl w:val="0"/>
          <w:numId w:val="6"/>
        </w:numPr>
      </w:pPr>
      <w:r>
        <w:rPr>
          <w:b/>
        </w:rPr>
        <w:t xml:space="preserve">Implication for Boutinly:</w:t>
      </w:r>
      <w:r>
        <w:t xml:space="preserve"> architect the CRM's automation layer (Section 8–9) so today's "assisted" workflows can graduate into "autonomous" agent workflows without a data-model rewrite.</w:t>
      </w:r>
    </w:p>
    <w:p w14:paraId="00100148" w14:textId="00100149">
      <w:pPr>
        <w:pBdr/>
      </w:pPr>
    </w:p>
    <w:p w14:paraId="0010014A" w14:textId="0010014B">
      <w:pPr>
        <w:pStyle w:val="Heading2"/>
      </w:pPr>
      <w:r>
        <w:rPr>
          <w:b/>
          <w:sz w:val="32"/>
        </w:rPr>
        <w:t xml:space="preserve">4. Enterprise CRM Buyer Expectations</w:t>
      </w:r>
    </w:p>
    <w:p w14:paraId="0010014C" w14:textId="0010014D">
      <w:pPr/>
      <w:r>
        <w:rPr/>
        <w:t xml:space="preserve">Synthesized across all sources above, enterprise buyers evaluate CRM vendors against:</w:t>
      </w:r>
    </w:p>
    <w:p w14:paraId="0010014E" w14:textId="0010014F">
      <w:pPr>
        <w:numPr>
          <w:ilvl w:val="0"/>
          <w:numId w:val="7"/>
        </w:numPr>
      </w:pPr>
      <w:r>
        <w:rPr>
          <w:b/>
        </w:rPr>
        <w:t xml:space="preserve">Governance-ready security</w:t>
      </w:r>
      <w:r>
        <w:t xml:space="preserve"> — RBAC, audit trails, SOC 2, GDPR/regional residency, out of the box, not bolted on.</w:t>
      </w:r>
    </w:p>
    <w:p w14:paraId="00100150" w14:textId="00100151">
      <w:pPr>
        <w:numPr>
          <w:ilvl w:val="0"/>
          <w:numId w:val="7"/>
        </w:numPr>
      </w:pPr>
      <w:r>
        <w:rPr>
          <w:b/>
        </w:rPr>
        <w:t xml:space="preserve">Stack-fit, not stack-replacement</w:t>
      </w:r>
      <w:r>
        <w:t xml:space="preserve"> — deep, reliable integration with the ERP/finance/support/HR systems already in place.</w:t>
      </w:r>
    </w:p>
    <w:p w14:paraId="00100152" w14:textId="00100153">
      <w:pPr>
        <w:numPr>
          <w:ilvl w:val="0"/>
          <w:numId w:val="7"/>
        </w:numPr>
      </w:pPr>
      <w:r>
        <w:rPr>
          <w:b/>
        </w:rPr>
        <w:t xml:space="preserve">Proof at scale</w:t>
      </w:r>
      <w:r>
        <w:t xml:space="preserve"> — reference customers and benchmarks at the buyer's actual data/user volume, not pilot scale.</w:t>
      </w:r>
    </w:p>
    <w:p w14:paraId="00100154" w14:textId="00100155">
      <w:pPr>
        <w:numPr>
          <w:ilvl w:val="0"/>
          <w:numId w:val="7"/>
        </w:numPr>
      </w:pPr>
      <w:r>
        <w:rPr>
          <w:b/>
        </w:rPr>
        <w:t xml:space="preserve">AI foundations over AI features</w:t>
      </w:r>
      <w:r>
        <w:t xml:space="preserve"> — buyers increasingly ask </w:t>
      </w:r>
      <w:r>
        <w:rPr>
          <w:i/>
        </w:rPr>
        <w:t xml:space="preserve">how</w:t>
      </w:r>
      <w:r>
        <w:t xml:space="preserve"> AI outputs are governed and explainable, not just what AI can do.</w:t>
      </w:r>
    </w:p>
    <w:p w14:paraId="00100156" w14:textId="00100157">
      <w:pPr>
        <w:numPr>
          <w:ilvl w:val="0"/>
          <w:numId w:val="7"/>
        </w:numPr>
      </w:pPr>
      <w:r>
        <w:rPr>
          <w:b/>
        </w:rPr>
        <w:t xml:space="preserve">Change-management support</w:t>
      </w:r>
      <w:r>
        <w:t xml:space="preserve"> — enterprise deals are won or lost on rollout support (training, migration, human escalation), not the feature sheet.</w:t>
      </w:r>
    </w:p>
    <w:p w14:paraId="00100158" w14:textId="00100159">
      <w:pPr>
        <w:numPr>
          <w:ilvl w:val="0"/>
          <w:numId w:val="7"/>
        </w:numPr>
      </w:pPr>
      <w:r>
        <w:rPr>
          <w:b/>
        </w:rPr>
        <w:t xml:space="preserve">Executive-trustworthy reporting</w:t>
      </w:r>
      <w:r>
        <w:t xml:space="preserve"> — forecasts and dashboards leadership will actually act on, consistent across org levels.</w:t>
      </w:r>
    </w:p>
    <w:p w14:paraId="0010015A" w14:textId="0010015B">
      <w:pPr>
        <w:numPr>
          <w:ilvl w:val="0"/>
          <w:numId w:val="7"/>
        </w:numPr>
      </w:pPr>
      <w:r>
        <w:rPr>
          <w:b/>
        </w:rPr>
        <w:t xml:space="preserve">Clear TCO and exit path</w:t>
      </w:r>
      <w:r>
        <w:t xml:space="preserve"> — transparent pricing at scale and frictionless data export to avoid lock-in risk in procurement review.</w:t>
      </w:r>
    </w:p>
    <w:p w14:paraId="0010015C" w14:textId="0010015D">
      <w:pPr>
        <w:pBdr/>
      </w:pPr>
    </w:p>
    <w:p w14:paraId="0010015E" w14:textId="0010015F">
      <w:pPr>
        <w:pStyle w:val="Heading2"/>
      </w:pPr>
      <w:r>
        <w:rPr>
          <w:b/>
          <w:sz w:val="32"/>
        </w:rPr>
        <w:t xml:space="preserve">5. UI/UX Design Structure for Enterprise CRM</w:t>
      </w:r>
    </w:p>
    <w:p w14:paraId="00100160" w14:textId="00100161">
      <w:pPr>
        <w:pStyle w:val="Heading3"/>
      </w:pPr>
      <w:r>
        <w:rPr>
          <w:b/>
          <w:sz w:val="28"/>
        </w:rPr>
        <w:t xml:space="preserve">5.1 Information Architecture (recommended hierarchy)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62" w14:textId="00100163">
            <w:r>
              <w:t xml:space="preserve">Level</w:t>
            </w:r>
          </w:p>
        </w:tc>
        <w:tc>
          <w:p w14:paraId="00100164" w14:textId="00100165">
            <w:r>
              <w:t xml:space="preserve">Component</w:t>
            </w:r>
          </w:p>
        </w:tc>
        <w:tc>
          <w:p w14:paraId="00100166" w14:textId="00100167">
            <w:r>
              <w:t xml:space="preserve">Purpose</w:t>
            </w:r>
          </w:p>
        </w:tc>
      </w:tr>
      <w:tr>
        <w:tc>
          <w:p w14:paraId="00100168" w14:textId="00100169">
            <w:r>
              <w:t xml:space="preserve">L0</w:t>
            </w:r>
          </w:p>
        </w:tc>
        <w:tc>
          <w:p w14:paraId="0010016A" w14:textId="0010016B">
            <w:r>
              <w:t xml:space="preserve">Global navigation (persistent top/side rail)</w:t>
            </w:r>
          </w:p>
        </w:tc>
        <w:tc>
          <w:p w14:paraId="0010016C" w14:textId="0010016D">
            <w:r>
              <w:t xml:space="preserve">Cross-module switching (Sales, Marketing, Service, Analytics, Admin) — always visible, never buried</w:t>
            </w:r>
          </w:p>
        </w:tc>
      </w:tr>
      <w:tr>
        <w:tc>
          <w:p w14:paraId="0010016E" w14:textId="0010016F">
            <w:r>
              <w:t xml:space="preserve">L1</w:t>
            </w:r>
          </w:p>
        </w:tc>
        <w:tc>
          <w:p w14:paraId="00100170" w14:textId="00100171">
            <w:r>
              <w:t xml:space="preserve">Module workspace (e.g., Pipeline, Cases, Campaigns)</w:t>
            </w:r>
          </w:p>
        </w:tc>
        <w:tc>
          <w:p w14:paraId="00100172" w14:textId="00100173">
            <w:r>
              <w:t xml:space="preserve">Role-scoped landing view — reps see their pipeline, managers see team rollups, execs see portfolio KPIs</w:t>
            </w:r>
          </w:p>
        </w:tc>
      </w:tr>
      <w:tr>
        <w:tc>
          <w:p w14:paraId="00100174" w14:textId="00100175">
            <w:r>
              <w:t xml:space="preserve">L2</w:t>
            </w:r>
          </w:p>
        </w:tc>
        <w:tc>
          <w:p w14:paraId="00100176" w14:textId="00100177">
            <w:r>
              <w:t xml:space="preserve">List / board view (records)</w:t>
            </w:r>
          </w:p>
        </w:tc>
        <w:tc>
          <w:p w14:paraId="00100178" w14:textId="00100179">
            <w:r>
              <w:t xml:space="preserve">Filterable, sortable, saved-view-capable list or Kanban board — the daily workhorse screen</w:t>
            </w:r>
          </w:p>
        </w:tc>
      </w:tr>
      <w:tr>
        <w:tc>
          <w:p w14:paraId="0010017A" w14:textId="0010017B">
            <w:r>
              <w:t xml:space="preserve">L3</w:t>
            </w:r>
          </w:p>
        </w:tc>
        <w:tc>
          <w:p w14:paraId="0010017C" w14:textId="0010017D">
            <w:r>
              <w:t xml:space="preserve">Record detail view</w:t>
            </w:r>
          </w:p>
        </w:tc>
        <w:tc>
          <w:p w14:paraId="0010017E" w14:textId="0010017F">
            <w:r>
              <w:t xml:space="preserve">Single source of truth for one entity: summary panel, related records, activity timeline, and actions in one predictable layout</w:t>
            </w:r>
          </w:p>
        </w:tc>
      </w:tr>
      <w:tr>
        <w:tc>
          <w:p w14:paraId="00100180" w14:textId="00100181">
            <w:r>
              <w:t xml:space="preserve">L4</w:t>
            </w:r>
          </w:p>
        </w:tc>
        <w:tc>
          <w:p w14:paraId="00100182" w14:textId="00100183">
            <w:r>
              <w:t xml:space="preserve">Activity / timeline layer</w:t>
            </w:r>
          </w:p>
        </w:tc>
        <w:tc>
          <w:p w14:paraId="00100184" w14:textId="00100185">
            <w:r>
              <w:t xml:space="preserve">Chronological, cross-channel activity feed (calls, emails, notes, tasks) attached to the record — this is what makes automatic activity capture (Section 2) usable</w:t>
            </w:r>
          </w:p>
        </w:tc>
      </w:tr>
    </w:tbl>
    <w:p w14:paraId="00100186" w14:textId="00100187">
      <w:pPr>
        <w:pStyle w:val="Heading3"/>
      </w:pPr>
      <w:r>
        <w:rPr>
          <w:b/>
          <w:sz w:val="28"/>
        </w:rPr>
        <w:t xml:space="preserve">5.2 Design Principles for Enterprise (not consumer) Software</w:t>
      </w:r>
    </w:p>
    <w:p w14:paraId="00100188" w14:textId="00100189">
      <w:pPr>
        <w:numPr>
          <w:ilvl w:val="0"/>
          <w:numId w:val="8"/>
        </w:numPr>
      </w:pPr>
      <w:r>
        <w:rPr>
          <w:b/>
        </w:rPr>
        <w:t xml:space="preserve">Density over decoration.</w:t>
      </w:r>
      <w:r>
        <w:t xml:space="preserve"> Enterprise/ops users handle large datasets; excess whitespace and over-nested navigation frustrate more than they delight. Optimize for scanability, not marketing polish.</w:t>
      </w:r>
    </w:p>
    <w:p w14:paraId="0010018A" w14:textId="0010018B">
      <w:pPr>
        <w:numPr>
          <w:ilvl w:val="0"/>
          <w:numId w:val="8"/>
        </w:numPr>
      </w:pPr>
      <w:r>
        <w:rPr>
          <w:b/>
        </w:rPr>
        <w:t xml:space="preserve">Role-adaptive dashboards.</w:t>
      </w:r>
      <w:r>
        <w:t xml:space="preserve"> The same dashboard shell should render differently by role — reps see individual deals, VPs see aggregated performance — without separate products to maintain.</w:t>
      </w:r>
    </w:p>
    <w:p w14:paraId="0010018C" w14:textId="0010018D">
      <w:pPr>
        <w:numPr>
          <w:ilvl w:val="0"/>
          <w:numId w:val="8"/>
        </w:numPr>
      </w:pPr>
      <w:r>
        <w:rPr>
          <w:b/>
        </w:rPr>
        <w:t xml:space="preserve">Predictable, repeatable patterns.</w:t>
      </w:r>
      <w:r>
        <w:t xml:space="preserve"> Every module should reuse the same list → detail → action pattern. Novelty in navigation is a liability in enterprise software, not a feature.</w:t>
      </w:r>
    </w:p>
    <w:p w14:paraId="0010018E" w14:textId="0010018F">
      <w:pPr>
        <w:numPr>
          <w:ilvl w:val="0"/>
          <w:numId w:val="8"/>
        </w:numPr>
      </w:pPr>
      <w:r>
        <w:rPr>
          <w:b/>
        </w:rPr>
        <w:t xml:space="preserve">Drill-through everywhere.</w:t>
      </w:r>
      <w:r>
        <w:t xml:space="preserve"> Every summary number (a KPI tile, a forecast total) should be clickable to the underlying record set — this is what makes leadership trust the numbers (ties directly to the Deloitte finding in 3.3).</w:t>
      </w:r>
    </w:p>
    <w:p w14:paraId="00100190" w14:textId="00100191">
      <w:pPr>
        <w:numPr>
          <w:ilvl w:val="0"/>
          <w:numId w:val="8"/>
        </w:numPr>
      </w:pPr>
      <w:r>
        <w:rPr>
          <w:b/>
        </w:rPr>
        <w:t xml:space="preserve">AI surfaces </w:t>
      </w:r>
      <w:r>
        <w:rPr>
          <w:b/>
          <w:i/>
        </w:rPr>
        <w:t xml:space="preserve">in</w:t>
      </w:r>
      <w:r>
        <w:rPr>
          <w:b/>
        </w:rPr>
        <w:t xml:space="preserve"> the workflow, not beside it.</w:t>
      </w:r>
      <w:r>
        <w:t xml:space="preserve"> Predictive lead scoring, smart data entry, and next-best-action prompts should appear inline at the point of decision, not in a separate "AI tab" nobody opens.</w:t>
      </w:r>
    </w:p>
    <w:p w14:paraId="00100192" w14:textId="00100193">
      <w:pPr>
        <w:numPr>
          <w:ilvl w:val="0"/>
          <w:numId w:val="8"/>
        </w:numPr>
      </w:pPr>
      <w:r>
        <w:rPr>
          <w:b/>
        </w:rPr>
        <w:t xml:space="preserve">Accessibility and internationalization by default.</w:t>
      </w:r>
      <w:r>
        <w:t xml:space="preserve"> WCAG 2.1 AA compliance, keyboard navigation, and RTL/locale support are enterprise procurement requirements, especially for global rollouts.</w:t>
      </w:r>
    </w:p>
    <w:p w14:paraId="00100194" w14:textId="00100195">
      <w:pPr>
        <w:pStyle w:val="Heading2"/>
      </w:pPr>
      <w:r>
        <w:rPr>
          <w:b/>
          <w:sz w:val="32"/>
        </w:rPr>
        <w:t xml:space="preserve">6. Product Requirements Document (PRD) — Boutinly Enterprise CRM</w:t>
      </w:r>
    </w:p>
    <w:p w14:paraId="00100196" w14:textId="00100197">
      <w:pPr>
        <w:pStyle w:val="Heading3"/>
      </w:pPr>
      <w:r>
        <w:rPr>
          <w:b/>
          <w:sz w:val="28"/>
        </w:rPr>
        <w:t xml:space="preserve">6.1 Vision</w:t>
      </w:r>
    </w:p>
    <w:p w14:paraId="00100198" w14:textId="00100199">
      <w:pPr/>
      <w:r>
        <w:rPr/>
        <w:t xml:space="preserve">Boutinly Enterprise CRM gives mid-market and lower-enterprise B2B organizations a single, trustworthy system of record for the customer lifecycle — lead through renewal — with AI-native automation designed in from day one (not retrofitted), governance-ready security, and an information architecture built for daily operational use rather than demo polish.</w:t>
      </w:r>
    </w:p>
    <w:p w14:paraId="0010019A" w14:textId="0010019B">
      <w:pPr>
        <w:pStyle w:val="Heading3"/>
      </w:pPr>
      <w:r>
        <w:rPr>
          <w:b/>
          <w:sz w:val="28"/>
        </w:rPr>
        <w:t xml:space="preserve">6.2 Target Users / Personas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19C" w14:textId="0010019D">
            <w:r>
              <w:t xml:space="preserve">Persona</w:t>
            </w:r>
          </w:p>
        </w:tc>
        <w:tc>
          <w:p w14:paraId="0010019E" w14:textId="0010019F">
            <w:r>
              <w:t xml:space="preserve">Role</w:t>
            </w:r>
          </w:p>
        </w:tc>
        <w:tc>
          <w:p w14:paraId="001001A0" w14:textId="001001A1">
            <w:r>
              <w:t xml:space="preserve">Primary Goal</w:t>
            </w:r>
          </w:p>
        </w:tc>
        <w:tc>
          <w:p w14:paraId="001001A2" w14:textId="001001A3">
            <w:r>
              <w:t xml:space="preserve">Primary Screens</w:t>
            </w:r>
          </w:p>
        </w:tc>
      </w:tr>
      <w:tr>
        <w:tc>
          <w:p w14:paraId="001001A4" w14:textId="001001A5">
            <w:r>
              <w:t xml:space="preserve">Sales Rep</w:t>
            </w:r>
          </w:p>
        </w:tc>
        <w:tc>
          <w:p w14:paraId="001001A6" w14:textId="001001A7">
            <w:r>
              <w:t xml:space="preserve">Individual contributor, sales</w:t>
            </w:r>
          </w:p>
        </w:tc>
        <w:tc>
          <w:p w14:paraId="001001A8" w14:textId="001001A9">
            <w:r>
              <w:t xml:space="preserve">Move deals through pipeline with minimal manual data entry</w:t>
            </w:r>
          </w:p>
        </w:tc>
        <w:tc>
          <w:p w14:paraId="001001AA" w14:textId="001001AB">
            <w:r>
              <w:t xml:space="preserve">Pipeline board, record detail, activity timeline</w:t>
            </w:r>
          </w:p>
        </w:tc>
      </w:tr>
      <w:tr>
        <w:tc>
          <w:p w14:paraId="001001AC" w14:textId="001001AD">
            <w:r>
              <w:t xml:space="preserve">Sales Manager</w:t>
            </w:r>
          </w:p>
        </w:tc>
        <w:tc>
          <w:p w14:paraId="001001AE" w14:textId="001001AF">
            <w:r>
              <w:t xml:space="preserve">Team lead</w:t>
            </w:r>
          </w:p>
        </w:tc>
        <w:tc>
          <w:p w14:paraId="001001B0" w14:textId="001001B1">
            <w:r>
              <w:t xml:space="preserve">Forecast accuracy, coach reps, unblock stuck deals</w:t>
            </w:r>
          </w:p>
        </w:tc>
        <w:tc>
          <w:p w14:paraId="001001B2" w14:textId="001001B3">
            <w:r>
              <w:t xml:space="preserve">Team dashboard, pipeline rollup, drill-through reports</w:t>
            </w:r>
          </w:p>
        </w:tc>
      </w:tr>
      <w:tr>
        <w:tc>
          <w:p w14:paraId="001001B4" w14:textId="001001B5">
            <w:r>
              <w:t xml:space="preserve">Marketing Manager</w:t>
            </w:r>
          </w:p>
        </w:tc>
        <w:tc>
          <w:p w14:paraId="001001B6" w14:textId="001001B7">
            <w:r>
              <w:t xml:space="preserve">Campaign owner</w:t>
            </w:r>
          </w:p>
        </w:tc>
        <w:tc>
          <w:p w14:paraId="001001B8" w14:textId="001001B9">
            <w:r>
              <w:t xml:space="preserve">Generate and qualify pipeline, prove attribution</w:t>
            </w:r>
          </w:p>
        </w:tc>
        <w:tc>
          <w:p w14:paraId="001001BA" w14:textId="001001BB">
            <w:r>
              <w:t xml:space="preserve">Campaign workspace, segment builder, funnel analytics</w:t>
            </w:r>
          </w:p>
        </w:tc>
      </w:tr>
      <w:tr>
        <w:tc>
          <w:p w14:paraId="001001BC" w14:textId="001001BD">
            <w:r>
              <w:t xml:space="preserve">Support/Success Agent</w:t>
            </w:r>
          </w:p>
        </w:tc>
        <w:tc>
          <w:p w14:paraId="001001BE" w14:textId="001001BF">
            <w:r>
              <w:t xml:space="preserve">Post-sale service</w:t>
            </w:r>
          </w:p>
        </w:tc>
        <w:tc>
          <w:p w14:paraId="001001C0" w14:textId="001001C1">
            <w:r>
              <w:t xml:space="preserve">Resolve cases fast, retain accounts</w:t>
            </w:r>
          </w:p>
        </w:tc>
        <w:tc>
          <w:p w14:paraId="001001C2" w14:textId="001001C3">
            <w:r>
              <w:t xml:space="preserve">Case queue, account 360 view, SLA timers</w:t>
            </w:r>
          </w:p>
        </w:tc>
      </w:tr>
      <w:tr>
        <w:tc>
          <w:p w14:paraId="001001C4" w14:textId="001001C5">
            <w:r>
              <w:t xml:space="preserve">Executive (VP/C-level)</w:t>
            </w:r>
          </w:p>
        </w:tc>
        <w:tc>
          <w:p w14:paraId="001001C6" w14:textId="001001C7">
            <w:r>
              <w:t xml:space="preserve">Leadership</w:t>
            </w:r>
          </w:p>
        </w:tc>
        <w:tc>
          <w:p w14:paraId="001001C8" w14:textId="001001C9">
            <w:r>
              <w:t xml:space="preserve">Trust the numbers; spot risk early</w:t>
            </w:r>
          </w:p>
        </w:tc>
        <w:tc>
          <w:p w14:paraId="001001CA" w14:textId="001001CB">
            <w:r>
              <w:t xml:space="preserve">Executive dashboard, forecast, cross-team KPIs</w:t>
            </w:r>
          </w:p>
        </w:tc>
      </w:tr>
      <w:tr>
        <w:tc>
          <w:p w14:paraId="001001CC" w14:textId="001001CD">
            <w:r>
              <w:t xml:space="preserve">System Administrator</w:t>
            </w:r>
          </w:p>
        </w:tc>
        <w:tc>
          <w:p w14:paraId="001001CE" w14:textId="001001CF">
            <w:r>
              <w:t xml:space="preserve">IT/RevOps</w:t>
            </w:r>
          </w:p>
        </w:tc>
        <w:tc>
          <w:p w14:paraId="001001D0" w14:textId="001001D1">
            <w:r>
              <w:t xml:space="preserve">Configure, secure, and integrate the platform</w:t>
            </w:r>
          </w:p>
        </w:tc>
        <w:tc>
          <w:p w14:paraId="001001D2" w14:textId="001001D3">
            <w:r>
              <w:t xml:space="preserve">Admin console, permission sets, integration hub, audit log</w:t>
            </w:r>
          </w:p>
        </w:tc>
      </w:tr>
    </w:tbl>
    <w:p w14:paraId="001001D4" w14:textId="001001D5">
      <w:pPr>
        <w:pStyle w:val="Heading3"/>
      </w:pPr>
      <w:r>
        <w:rPr>
          <w:b/>
          <w:sz w:val="28"/>
        </w:rPr>
        <w:t xml:space="preserve">6.3 Functional Requirements (MoSCoW)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D6" w14:textId="001001D7">
            <w:r>
              <w:t xml:space="preserve">ID</w:t>
            </w:r>
          </w:p>
        </w:tc>
        <w:tc>
          <w:p w14:paraId="001001D8" w14:textId="001001D9">
            <w:r>
              <w:t xml:space="preserve">Requirement</w:t>
            </w:r>
          </w:p>
        </w:tc>
        <w:tc>
          <w:p w14:paraId="001001DA" w14:textId="001001DB">
            <w:r>
              <w:t xml:space="preserve">Priority</w:t>
            </w:r>
          </w:p>
        </w:tc>
      </w:tr>
      <w:tr>
        <w:tc>
          <w:p w14:paraId="001001DC" w14:textId="001001DD">
            <w:r>
              <w:t xml:space="preserve">FR-01</w:t>
            </w:r>
          </w:p>
        </w:tc>
        <w:tc>
          <w:p w14:paraId="001001DE" w14:textId="001001DF">
            <w:r>
              <w:t xml:space="preserve">Capture, qualify, assign, and route leads automatically by rule-based or AI-scored criteria</w:t>
            </w:r>
          </w:p>
        </w:tc>
        <w:tc>
          <w:p w14:paraId="001001E0" w14:textId="001001E1">
            <w:r>
              <w:t xml:space="preserve">Must</w:t>
            </w:r>
          </w:p>
        </w:tc>
      </w:tr>
      <w:tr>
        <w:tc>
          <w:p w14:paraId="001001E2" w14:textId="001001E3">
            <w:r>
              <w:t xml:space="preserve">FR-02</w:t>
            </w:r>
          </w:p>
        </w:tc>
        <w:tc>
          <w:p w14:paraId="001001E4" w14:textId="001001E5">
            <w:r>
              <w:t xml:space="preserve">Convert qualified leads to Contacts/Accounts/Opportunities with full field mapping and audit trail</w:t>
            </w:r>
          </w:p>
        </w:tc>
        <w:tc>
          <w:p w14:paraId="001001E6" w14:textId="001001E7">
            <w:r>
              <w:t xml:space="preserve">Must</w:t>
            </w:r>
          </w:p>
        </w:tc>
      </w:tr>
      <w:tr>
        <w:tc>
          <w:p w14:paraId="001001E8" w14:textId="001001E9">
            <w:r>
              <w:t xml:space="preserve">FR-03</w:t>
            </w:r>
          </w:p>
        </w:tc>
        <w:tc>
          <w:p w14:paraId="001001EA" w14:textId="001001EB">
            <w:r>
              <w:t xml:space="preserve">Visual, drag-and-drop pipeline board with configurable stages per team/product line</w:t>
            </w:r>
          </w:p>
        </w:tc>
        <w:tc>
          <w:p w14:paraId="001001EC" w14:textId="001001ED">
            <w:r>
              <w:t xml:space="preserve">Must</w:t>
            </w:r>
          </w:p>
        </w:tc>
      </w:tr>
      <w:tr>
        <w:tc>
          <w:p w14:paraId="001001EE" w14:textId="001001EF">
            <w:r>
              <w:t xml:space="preserve">FR-04</w:t>
            </w:r>
          </w:p>
        </w:tc>
        <w:tc>
          <w:p w14:paraId="001001F0" w14:textId="001001F1">
            <w:r>
              <w:t xml:space="preserve">Automatic activity capture (email, calendar, calls) attached to the correct record</w:t>
            </w:r>
          </w:p>
        </w:tc>
        <w:tc>
          <w:p w14:paraId="001001F2" w14:textId="001001F3">
            <w:r>
              <w:t xml:space="preserve">Must</w:t>
            </w:r>
          </w:p>
        </w:tc>
      </w:tr>
      <w:tr>
        <w:tc>
          <w:p w14:paraId="001001F4" w14:textId="001001F5">
            <w:r>
              <w:t xml:space="preserve">FR-05</w:t>
            </w:r>
          </w:p>
        </w:tc>
        <w:tc>
          <w:p w14:paraId="001001F6" w14:textId="001001F7">
            <w:r>
              <w:t xml:space="preserve">Role-based access control with field-level permission overrides</w:t>
            </w:r>
          </w:p>
        </w:tc>
        <w:tc>
          <w:p w14:paraId="001001F8" w14:textId="001001F9">
            <w:r>
              <w:t xml:space="preserve">Must</w:t>
            </w:r>
          </w:p>
        </w:tc>
      </w:tr>
      <w:tr>
        <w:tc>
          <w:p w14:paraId="001001FA" w14:textId="001001FB">
            <w:r>
              <w:t xml:space="preserve">FR-06</w:t>
            </w:r>
          </w:p>
        </w:tc>
        <w:tc>
          <w:p w14:paraId="001001FC" w14:textId="001001FD">
            <w:r>
              <w:t xml:space="preserve">Native, bidirectional integrations: ERP, billing, email/calendar, support desk</w:t>
            </w:r>
          </w:p>
        </w:tc>
        <w:tc>
          <w:p w14:paraId="001001FE" w14:textId="001001FF">
            <w:r>
              <w:t xml:space="preserve">Must</w:t>
            </w:r>
          </w:p>
        </w:tc>
      </w:tr>
      <w:tr>
        <w:tc>
          <w:p w14:paraId="00100200" w14:textId="00100201">
            <w:r>
              <w:t xml:space="preserve">FR-07</w:t>
            </w:r>
          </w:p>
        </w:tc>
        <w:tc>
          <w:p w14:paraId="00100202" w14:textId="00100203">
            <w:r>
              <w:t xml:space="preserve">Configurable multi-level approval workflows (discounting, contracts)</w:t>
            </w:r>
          </w:p>
        </w:tc>
        <w:tc>
          <w:p w14:paraId="00100204" w14:textId="00100205">
            <w:r>
              <w:t xml:space="preserve">Must</w:t>
            </w:r>
          </w:p>
        </w:tc>
      </w:tr>
      <w:tr>
        <w:tc>
          <w:p w14:paraId="00100206" w14:textId="00100207">
            <w:r>
              <w:t xml:space="preserve">FR-08</w:t>
            </w:r>
          </w:p>
        </w:tc>
        <w:tc>
          <w:p w14:paraId="00100208" w14:textId="00100209">
            <w:r>
              <w:t xml:space="preserve">Case/ticket management with SLA timers and escalation rules</w:t>
            </w:r>
          </w:p>
        </w:tc>
        <w:tc>
          <w:p w14:paraId="0010020A" w14:textId="0010020B">
            <w:r>
              <w:t xml:space="preserve">Should</w:t>
            </w:r>
          </w:p>
        </w:tc>
      </w:tr>
      <w:tr>
        <w:tc>
          <w:p w14:paraId="0010020C" w14:textId="0010020D">
            <w:r>
              <w:t xml:space="preserve">FR-09</w:t>
            </w:r>
          </w:p>
        </w:tc>
        <w:tc>
          <w:p w14:paraId="0010020E" w14:textId="0010020F">
            <w:r>
              <w:t xml:space="preserve">Campaign management with segment builder and multi-touch attribution</w:t>
            </w:r>
          </w:p>
        </w:tc>
        <w:tc>
          <w:p w14:paraId="00100210" w14:textId="00100211">
            <w:r>
              <w:t xml:space="preserve">Should</w:t>
            </w:r>
          </w:p>
        </w:tc>
      </w:tr>
      <w:tr>
        <w:tc>
          <w:p w14:paraId="00100212" w14:textId="00100213">
            <w:r>
              <w:t xml:space="preserve">FR-10</w:t>
            </w:r>
          </w:p>
        </w:tc>
        <w:tc>
          <w:p w14:paraId="00100214" w14:textId="00100215">
            <w:r>
              <w:t xml:space="preserve">Role-aware dashboards with drill-through from every KPI to source records</w:t>
            </w:r>
          </w:p>
        </w:tc>
        <w:tc>
          <w:p w14:paraId="00100216" w14:textId="00100217">
            <w:r>
              <w:t xml:space="preserve">Must</w:t>
            </w:r>
          </w:p>
        </w:tc>
      </w:tr>
      <w:tr>
        <w:tc>
          <w:p w14:paraId="00100218" w14:textId="00100219">
            <w:r>
              <w:t xml:space="preserve">FR-11</w:t>
            </w:r>
          </w:p>
        </w:tc>
        <w:tc>
          <w:p w14:paraId="0010021A" w14:textId="0010021B">
            <w:r>
              <w:t xml:space="preserve">AI-assisted lead scoring, next-best-action prompts, and smart data entry</w:t>
            </w:r>
          </w:p>
        </w:tc>
        <w:tc>
          <w:p w14:paraId="0010021C" w14:textId="0010021D">
            <w:r>
              <w:t xml:space="preserve">Should</w:t>
            </w:r>
          </w:p>
        </w:tc>
      </w:tr>
      <w:tr>
        <w:tc>
          <w:p w14:paraId="0010021E" w14:textId="0010021F">
            <w:r>
              <w:t xml:space="preserve">FR-12</w:t>
            </w:r>
          </w:p>
        </w:tc>
        <w:tc>
          <w:p w14:paraId="00100220" w14:textId="00100221">
            <w:r>
              <w:t xml:space="preserve">Agentic automation layer for autonomous follow-ups (email/chat) with human-in-the-loop override</w:t>
            </w:r>
          </w:p>
        </w:tc>
        <w:tc>
          <w:p w14:paraId="00100222" w14:textId="00100223">
            <w:r>
              <w:t xml:space="preserve">Could</w:t>
            </w:r>
          </w:p>
        </w:tc>
      </w:tr>
      <w:tr>
        <w:tc>
          <w:p w14:paraId="00100224" w14:textId="00100225">
            <w:r>
              <w:t xml:space="preserve">FR-13</w:t>
            </w:r>
          </w:p>
        </w:tc>
        <w:tc>
          <w:p w14:paraId="00100226" w14:textId="00100227">
            <w:r>
              <w:t xml:space="preserve">Full audit log of every record change, exportable for compliance review</w:t>
            </w:r>
          </w:p>
        </w:tc>
        <w:tc>
          <w:p w14:paraId="00100228" w14:textId="00100229">
            <w:r>
              <w:t xml:space="preserve">Must</w:t>
            </w:r>
          </w:p>
        </w:tc>
      </w:tr>
      <w:tr>
        <w:tc>
          <w:p w14:paraId="0010022A" w14:textId="0010022B">
            <w:r>
              <w:t xml:space="preserve">FR-14</w:t>
            </w:r>
          </w:p>
        </w:tc>
        <w:tc>
          <w:p w14:paraId="0010022C" w14:textId="0010022D">
            <w:r>
              <w:t xml:space="preserve">Self-serve data export in standard formats (CSV, JSON, API) with no vendor lock-in</w:t>
            </w:r>
          </w:p>
        </w:tc>
        <w:tc>
          <w:p w14:paraId="0010022E" w14:textId="0010022F">
            <w:r>
              <w:t xml:space="preserve">Must</w:t>
            </w:r>
          </w:p>
        </w:tc>
      </w:tr>
      <w:tr>
        <w:tc>
          <w:p w14:paraId="00100230" w14:textId="00100231">
            <w:r>
              <w:t xml:space="preserve">FR-15</w:t>
            </w:r>
          </w:p>
        </w:tc>
        <w:tc>
          <w:p w14:paraId="00100232" w14:textId="00100233">
            <w:r>
              <w:t xml:space="preserve">Multi-tenant architecture with per-tenant data isolation</w:t>
            </w:r>
          </w:p>
        </w:tc>
        <w:tc>
          <w:p w14:paraId="00100234" w14:textId="00100235">
            <w:r>
              <w:t xml:space="preserve">Must</w:t>
            </w:r>
          </w:p>
        </w:tc>
      </w:tr>
    </w:tbl>
    <w:p w14:paraId="00100236" w14:textId="00100237">
      <w:pPr>
        <w:pStyle w:val="Heading3"/>
      </w:pPr>
      <w:r>
        <w:rPr>
          <w:b/>
          <w:sz w:val="28"/>
        </w:rPr>
        <w:t xml:space="preserve">6.4 Non-Functional Requirements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238" w14:textId="00100239">
            <w:r>
              <w:t xml:space="preserve">ID</w:t>
            </w:r>
          </w:p>
        </w:tc>
        <w:tc>
          <w:p w14:paraId="0010023A" w14:textId="0010023B">
            <w:r>
              <w:t xml:space="preserve">Requirement</w:t>
            </w:r>
          </w:p>
        </w:tc>
        <w:tc>
          <w:p w14:paraId="0010023C" w14:textId="0010023D">
            <w:r>
              <w:t xml:space="preserve">Target</w:t>
            </w:r>
          </w:p>
        </w:tc>
      </w:tr>
      <w:tr>
        <w:tc>
          <w:p w14:paraId="0010023E" w14:textId="0010023F">
            <w:r>
              <w:t xml:space="preserve">NFR-01</w:t>
            </w:r>
          </w:p>
        </w:tc>
        <w:tc>
          <w:p w14:paraId="00100240" w14:textId="00100241">
            <w:r>
              <w:t xml:space="preserve">Availability</w:t>
            </w:r>
          </w:p>
        </w:tc>
        <w:tc>
          <w:p w14:paraId="00100242" w14:textId="00100243">
            <w:r>
              <w:t xml:space="preserve">99.9% uptime SLA for production tenants</w:t>
            </w:r>
          </w:p>
        </w:tc>
      </w:tr>
      <w:tr>
        <w:tc>
          <w:p w14:paraId="00100244" w14:textId="00100245">
            <w:r>
              <w:t xml:space="preserve">NFR-02</w:t>
            </w:r>
          </w:p>
        </w:tc>
        <w:tc>
          <w:p w14:paraId="00100246" w14:textId="00100247">
            <w:r>
              <w:t xml:space="preserve">Performance at scale</w:t>
            </w:r>
          </w:p>
        </w:tc>
        <w:tc>
          <w:p w14:paraId="00100248" w14:textId="00100249">
            <w:r>
              <w:t xml:space="preserve">Sub-300ms p95 API response at 5M+ records per tenant, 5,000+ concurrent users</w:t>
            </w:r>
          </w:p>
        </w:tc>
      </w:tr>
      <w:tr>
        <w:tc>
          <w:p w14:paraId="0010024A" w14:textId="0010024B">
            <w:r>
              <w:t xml:space="preserve">NFR-03</w:t>
            </w:r>
          </w:p>
        </w:tc>
        <w:tc>
          <w:p w14:paraId="0010024C" w14:textId="0010024D">
            <w:r>
              <w:t xml:space="preserve">Security certification</w:t>
            </w:r>
          </w:p>
        </w:tc>
        <w:tc>
          <w:p w14:paraId="0010024E" w14:textId="0010024F">
            <w:r>
              <w:t xml:space="preserve">SOC 2 Type II within 12 months of GA; ISO 27001 roadmap</w:t>
            </w:r>
          </w:p>
        </w:tc>
      </w:tr>
      <w:tr>
        <w:tc>
          <w:p w14:paraId="00100250" w14:textId="00100251">
            <w:r>
              <w:t xml:space="preserve">NFR-04</w:t>
            </w:r>
          </w:p>
        </w:tc>
        <w:tc>
          <w:p w14:paraId="00100252" w14:textId="00100253">
            <w:r>
              <w:t xml:space="preserve">Data residency</w:t>
            </w:r>
          </w:p>
        </w:tc>
        <w:tc>
          <w:p w14:paraId="00100254" w14:textId="00100255">
            <w:r>
              <w:t xml:space="preserve">Region-pinned storage (EU, US, and target-market regions)</w:t>
            </w:r>
          </w:p>
        </w:tc>
      </w:tr>
      <w:tr>
        <w:tc>
          <w:p w14:paraId="00100256" w14:textId="00100257">
            <w:r>
              <w:t xml:space="preserve">NFR-05</w:t>
            </w:r>
          </w:p>
        </w:tc>
        <w:tc>
          <w:p w14:paraId="00100258" w14:textId="00100259">
            <w:r>
              <w:t xml:space="preserve">Compliance</w:t>
            </w:r>
          </w:p>
        </w:tc>
        <w:tc>
          <w:p w14:paraId="0010025A" w14:textId="0010025B">
            <w:r>
              <w:t xml:space="preserve">GDPR-compliant data handling, right-to-erasure workflows</w:t>
            </w:r>
          </w:p>
        </w:tc>
      </w:tr>
      <w:tr>
        <w:tc>
          <w:p w14:paraId="0010025C" w14:textId="0010025D">
            <w:r>
              <w:t xml:space="preserve">NFR-06</w:t>
            </w:r>
          </w:p>
        </w:tc>
        <w:tc>
          <w:p w14:paraId="0010025E" w14:textId="0010025F">
            <w:r>
              <w:t xml:space="preserve">Accessibility</w:t>
            </w:r>
          </w:p>
        </w:tc>
        <w:tc>
          <w:p w14:paraId="00100260" w14:textId="00100261">
            <w:r>
              <w:t xml:space="preserve">WCAG 2.1 AA across all primary workflows</w:t>
            </w:r>
          </w:p>
        </w:tc>
      </w:tr>
      <w:tr>
        <w:tc>
          <w:p w14:paraId="00100262" w14:textId="00100263">
            <w:r>
              <w:t xml:space="preserve">NFR-07</w:t>
            </w:r>
          </w:p>
        </w:tc>
        <w:tc>
          <w:p w14:paraId="00100264" w14:textId="00100265">
            <w:r>
              <w:t xml:space="preserve">Disaster recovery</w:t>
            </w:r>
          </w:p>
        </w:tc>
        <w:tc>
          <w:p w14:paraId="00100266" w14:textId="00100267">
            <w:r>
              <w:t xml:space="preserve">RPO ≤ 15 min, RTO ≤ 4 hours</w:t>
            </w:r>
          </w:p>
        </w:tc>
      </w:tr>
      <w:tr>
        <w:tc>
          <w:p w14:paraId="00100268" w14:textId="00100269">
            <w:r>
              <w:t xml:space="preserve">NFR-08</w:t>
            </w:r>
          </w:p>
        </w:tc>
        <w:tc>
          <w:p w14:paraId="0010026A" w14:textId="0010026B">
            <w:r>
              <w:t xml:space="preserve">Auditability</w:t>
            </w:r>
          </w:p>
        </w:tc>
        <w:tc>
          <w:p w14:paraId="0010026C" w14:textId="0010026D">
            <w:r>
              <w:t xml:space="preserve">Immutable audit log retained ≥ 7 years</w:t>
            </w:r>
          </w:p>
        </w:tc>
      </w:tr>
      <w:tr>
        <w:tc>
          <w:p w14:paraId="0010026E" w14:textId="0010026F">
            <w:r>
              <w:t xml:space="preserve">NFR-09</w:t>
            </w:r>
          </w:p>
        </w:tc>
        <w:tc>
          <w:p w14:paraId="00100270" w14:textId="00100271">
            <w:r>
              <w:t xml:space="preserve">Extensibility</w:t>
            </w:r>
          </w:p>
        </w:tc>
        <w:tc>
          <w:p w14:paraId="00100272" w14:textId="00100273">
            <w:r>
              <w:t xml:space="preserve">Public REST/GraphQL API and webhook framework for every core object</w:t>
            </w:r>
          </w:p>
        </w:tc>
      </w:tr>
      <w:tr>
        <w:tc>
          <w:p w14:paraId="00100274" w14:textId="00100275">
            <w:r>
              <w:t xml:space="preserve">NFR-10</w:t>
            </w:r>
          </w:p>
        </w:tc>
        <w:tc>
          <w:p w14:paraId="00100276" w14:textId="00100277">
            <w:r>
              <w:t xml:space="preserve">Localization</w:t>
            </w:r>
          </w:p>
        </w:tc>
        <w:tc>
          <w:p w14:paraId="00100278" w14:textId="00100279">
            <w:r>
              <w:t xml:space="preserve">Multi-language UI and RTL layout support</w:t>
            </w:r>
          </w:p>
        </w:tc>
      </w:tr>
    </w:tbl>
    <w:p w14:paraId="0010027A" w14:textId="0010027B">
      <w:pPr>
        <w:pStyle w:val="Heading3"/>
      </w:pPr>
      <w:r>
        <w:rPr>
          <w:b/>
          <w:sz w:val="28"/>
        </w:rPr>
        <w:t xml:space="preserve">6.5 Release Roadmap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27C" w14:textId="0010027D">
            <w:r>
              <w:t xml:space="preserve">Phase</w:t>
            </w:r>
          </w:p>
        </w:tc>
        <w:tc>
          <w:p w14:paraId="0010027E" w14:textId="0010027F">
            <w:r>
              <w:t xml:space="preserve">Scope</w:t>
            </w:r>
          </w:p>
        </w:tc>
        <w:tc>
          <w:p w14:paraId="00100280" w14:textId="00100281">
            <w:r>
              <w:t xml:space="preserve">Target Outcome</w:t>
            </w:r>
          </w:p>
        </w:tc>
      </w:tr>
      <w:tr>
        <w:tc>
          <w:p w14:paraId="00100282" w14:textId="00100283">
            <w:r>
              <w:t xml:space="preserve">MVP</w:t>
            </w:r>
          </w:p>
        </w:tc>
        <w:tc>
          <w:p w14:paraId="00100284" w14:textId="00100285">
            <w:r>
              <w:t xml:space="preserve">Lead/Contact/Account/Opportunity management, pipeline board, activity capture, RBAC, core reporting</w:t>
            </w:r>
          </w:p>
        </w:tc>
        <w:tc>
          <w:p w14:paraId="00100286" w14:textId="00100287">
            <w:r>
              <w:t xml:space="preserve">Prove core sales workflow value with design-partner customers</w:t>
            </w:r>
          </w:p>
        </w:tc>
      </w:tr>
      <w:tr>
        <w:tc>
          <w:p w14:paraId="00100288" w14:textId="00100289">
            <w:r>
              <w:t xml:space="preserve">V1 (GA)</w:t>
            </w:r>
          </w:p>
        </w:tc>
        <w:tc>
          <w:p w14:paraId="0010028A" w14:textId="0010028B">
            <w:r>
              <w:t xml:space="preserve">+ Case management, campaign management, approval workflows, ERP/billing integrations, SOC 2 Type II</w:t>
            </w:r>
          </w:p>
        </w:tc>
        <w:tc>
          <w:p w14:paraId="0010028C" w14:textId="0010028D">
            <w:r>
              <w:t xml:space="preserve">Enterprise-sellable, procurement-ready product</w:t>
            </w:r>
          </w:p>
        </w:tc>
      </w:tr>
      <w:tr>
        <w:tc>
          <w:p w14:paraId="0010028E" w14:textId="0010028F">
            <w:r>
              <w:t xml:space="preserve">V2</w:t>
            </w:r>
          </w:p>
        </w:tc>
        <w:tc>
          <w:p w14:paraId="00100290" w14:textId="00100291">
            <w:r>
              <w:t xml:space="preserve">+ AI lead scoring, next-best-action, agentic follow-up automation, advanced attribution analytics</w:t>
            </w:r>
          </w:p>
        </w:tc>
        <w:tc>
          <w:p w14:paraId="00100292" w14:textId="00100293">
            <w:r>
              <w:t xml:space="preserve">Differentiate on AI foundations (Section 3.1) rather than feature parity</w:t>
            </w:r>
          </w:p>
        </w:tc>
      </w:tr>
    </w:tbl>
    <w:p w14:paraId="00100294" w14:textId="00100295">
      <w:pPr>
        <w:pStyle w:val="Heading2"/>
      </w:pPr>
      <w:r>
        <w:rPr>
          <w:b/>
          <w:sz w:val="32"/>
        </w:rPr>
        <w:t xml:space="preserve">7. System Architecture</w:t>
      </w:r>
    </w:p>
    <w:p w14:paraId="00100296" w14:textId="00100297">
      <w:pPr/>
      <w:r>
        <w:rPr/>
        <w:t xml:space="preserve">Boutinly Enterprise CRM is designed as a multi-tenant, service-oriented SaaS platform: a thin client layer, an authenticated API gateway, independently scalable application services around each core domain (leads, accounts, pipeline, marketing, support, analytics, workflow, AI), a polyglot data layer (transactional store, search index, cache, warehouse, object storage), an event bus for asynchronous integration, and shared platform services for identity, audit, and observability.</w:t>
      </w:r>
    </w:p>
    <w:p w14:paraId="00100298" w14:textId="00100299">
      <w:pPr/>
      <w:r>
        <w:rPr>
          <w:b/>
        </w:rPr>
        <w:t xml:space="preserve">Layer summary:</w:t>
      </w:r>
    </w:p>
    <w:p w14:paraId="0010029A" w14:textId="0010029B">
      <w:pPr>
        <w:numPr>
          <w:ilvl w:val="0"/>
          <w:numId w:val="9"/>
        </w:numPr>
      </w:pPr>
      <w:r>
        <w:rPr>
          <w:b/>
        </w:rPr>
        <w:t xml:space="preserve">Client Layer</w:t>
      </w:r>
      <w:r>
        <w:t xml:space="preserve"> — Web app, mobile apps, and partner/API clients, all speaking the same public API surface (NFR-09).</w:t>
      </w:r>
    </w:p>
    <w:p w14:paraId="0010029C" w14:textId="0010029D">
      <w:pPr>
        <w:numPr>
          <w:ilvl w:val="0"/>
          <w:numId w:val="9"/>
        </w:numPr>
      </w:pPr>
      <w:r>
        <w:rPr>
          <w:b/>
        </w:rPr>
        <w:t xml:space="preserve">Edge &amp; Security</w:t>
      </w:r>
      <w:r>
        <w:t xml:space="preserve"> — CDN/WAF in front of a single API Gateway that terminates auth (OAuth2/OIDC) before any request reaches application services.</w:t>
      </w:r>
    </w:p>
    <w:p w14:paraId="0010029E" w14:textId="0010029F">
      <w:pPr>
        <w:numPr>
          <w:ilvl w:val="0"/>
          <w:numId w:val="9"/>
        </w:numPr>
      </w:pPr>
      <w:r>
        <w:rPr>
          <w:b/>
        </w:rPr>
        <w:t xml:space="preserve">Application Services</w:t>
      </w:r>
      <w:r>
        <w:t xml:space="preserve"> — One service per core domain, independently deployable and scalable; this is what lets FR-12's agentic automation layer be added later without touching unrelated services.</w:t>
      </w:r>
    </w:p>
    <w:p w14:paraId="001002A0" w14:textId="001002A1">
      <w:pPr>
        <w:numPr>
          <w:ilvl w:val="0"/>
          <w:numId w:val="9"/>
        </w:numPr>
      </w:pPr>
      <w:r>
        <w:rPr>
          <w:b/>
        </w:rPr>
        <w:t xml:space="preserve">Data Layer</w:t>
      </w:r>
      <w:r>
        <w:t xml:space="preserve"> — PostgreSQL for transactional data, Elasticsearch for search, Redis for cache, a warehouse for analytics workloads (keeps reporting queries off the transactional path), and object storage for attachments.</w:t>
      </w:r>
    </w:p>
    <w:p w14:paraId="001002A2" w14:textId="001002A3">
      <w:pPr>
        <w:numPr>
          <w:ilvl w:val="0"/>
          <w:numId w:val="9"/>
        </w:numPr>
      </w:pPr>
      <w:r>
        <w:rPr>
          <w:b/>
        </w:rPr>
        <w:t xml:space="preserve">Integration Layer</w:t>
      </w:r>
      <w:r>
        <w:t xml:space="preserve"> — An event bus (Kafka-class) decouples the workflow engine from external connectors (ERP, email/calendar, billing), satisfying FR-06 without tight coupling.</w:t>
      </w:r>
    </w:p>
    <w:p w14:paraId="001002A4" w14:textId="001002A5">
      <w:pPr>
        <w:numPr>
          <w:ilvl w:val="0"/>
          <w:numId w:val="9"/>
        </w:numPr>
      </w:pPr>
      <w:r>
        <w:rPr>
          <w:b/>
        </w:rPr>
        <w:t xml:space="preserve">Platform Services</w:t>
      </w:r>
      <w:r>
        <w:t xml:space="preserve"> — Centralized identity/access management, audit logging (NFR-08), and observability shared across every application service.</w:t>
      </w:r>
    </w:p>
    <w:p w14:paraId="001002A8" w14:textId="001002A9">
      <w:pPr>
        <w:spacing w:line="240" w:lineRule="auto"/>
      </w:pPr>
      <w:r>
        <w:drawing>
          <wp:inline distT="0" distB="0" distL="0" distR="0">
            <wp:extent cx="6120000" cy="2736085"/>
            <wp:effectExtent l="0" t="0" r="0" b="0"/>
            <wp:docPr id="1" name="mermaid:---&#10;config:&#10;  layout: elk&#10;---&#10;flowchart TD&#10;    subgraph CLIENT[&quot;Client Layer&quot;]&#10;        direction LR&#10;        WEB[&quot;Web App&quot;]&#10;        MOBILE[&quot;Mobile App&quot;]&#10;        PARTNER[&quot;Partner / API Clients&quot;]&#10;    end&#10;&#10;    GW[&quot;API Gateway&lt;br/&gt;OAuth2/OIDC + WAF/CDN&quot;]&#10;    WEB --&gt; GW&#10;    MOBILE --&gt; GW&#10;    PARTNER --&gt; GW&#10;&#10;    SALES[&quot;Sales &amp; Pipeline Services&lt;br/&gt;Lead - Account - Opportunity - Pipeline&quot;]&#10;    ENGAGE[&quot;Engagement Services&lt;br/&gt;Marketing - Support - Notification&quot;]&#10;    INTEL[&quot;Intelligence Services&lt;br/&gt;Analytics - Workflow Engine - AI/ML&quot;]&#10;&#10;    GW --&gt; SALES&#10;    GW --&gt; ENGAGE&#10;    GW --&gt; INTEL&#10;&#10;    subgraph DATA[&quot;Data Layer&quot;]&#10;        direction LR&#10;        DB[(&quot;PostgreSQL&quot;)]&#10;        SEARCH[(&quot;Elasticsearch&quot;)]&#10;        CACHE[(&quot;Redis Cache&quot;)]&#10;        DW[(&quot;Analytics Warehouse&quot;)]&#10;        FILES[(&quot;Object Storage&quot;)]&#10;    end&#10;&#10;    SALES --&gt; DB&#10;    ENGAGE --&gt; DB&#10;    SALES --&gt; SEARCH&#10;    SALES --&gt; CACHE&#10;    INTEL --&gt; DW&#10;    ENGAGE --&gt; FILES&#10;&#10;    BUS[&quot;Event Bus - Kafka&quot;]&#10;    CONN[&quot;ERP / Email / Billing Connectors&quot;]&#10;    INTEL --&gt; BUS&#10;    BUS --&gt; CONN&#10;&#10;    subgraph PLATFORM[&quot;Platform Services&quot;]&#10;        direction LR&#10;        IAM[&quot;Identity &amp; Access Mgmt&quot;]&#10;        AUDIT[&quot;Audit &amp; Compliance Logging&quot;]&#10;        OBS[&quot;Observability&quot;]&#10;    end&#10;&#10;    GW --&gt; IAM&#10;    SALES --&gt; AUDIT&#10;    INTEL --&gt; OBS&#10;" descr="mermaid:---&#10;config:&#10;  layout: elk&#10;---&#10;flowchart TD&#10;    subgraph CLIENT[&quot;Client Layer&quot;]&#10;        direction LR&#10;        WEB[&quot;Web App&quot;]&#10;        MOBILE[&quot;Mobile App&quot;]&#10;        PARTNER[&quot;Partner / API Clients&quot;]&#10;    end&#10;&#10;    GW[&quot;API Gateway&lt;br/&gt;OAuth2/OIDC + WAF/CDN&quot;]&#10;    WEB --&gt; GW&#10;    MOBILE --&gt; GW&#10;    PARTNER --&gt; GW&#10;&#10;    SALES[&quot;Sales &amp; Pipeline Services&lt;br/&gt;Lead - Account - Opportunity - Pipeline&quot;]&#10;    ENGAGE[&quot;Engagement Services&lt;br/&gt;Marketing - Support - Notification&quot;]&#10;    INTEL[&quot;Intelligence Services&lt;br/&gt;Analytics - Workflow Engine - AI/ML&quot;]&#10;&#10;    GW --&gt; SALES&#10;    GW --&gt; ENGAGE&#10;    GW --&gt; INTEL&#10;&#10;    subgraph DATA[&quot;Data Layer&quot;]&#10;        direction LR&#10;        DB[(&quot;PostgreSQL&quot;)]&#10;        SEARCH[(&quot;Elasticsearch&quot;)]&#10;        CACHE[(&quot;Redis Cache&quot;)]&#10;        DW[(&quot;Analytics Warehouse&quot;)]&#10;        FILES[(&quot;Object Storage&quot;)]&#10;    end&#10;&#10;    SALES --&gt; DB&#10;    ENGAGE --&gt; DB&#10;    SALES --&gt; SEARCH&#10;    SALES --&gt; CACHE&#10;    INTEL --&gt; DW&#10;    ENGAGE --&gt; FILES&#10;&#10;    BUS[&quot;Event Bus - Kafka&quot;]&#10;    CONN[&quot;ERP / Email / Billing Connectors&quot;]&#10;    INTEL --&gt; BUS&#10;    BUS --&gt; CONN&#10;&#10;    subgraph PLATFORM[&quot;Platform Services&quot;]&#10;        direction LR&#10;        IAM[&quot;Identity &amp; Access Mgmt&quot;]&#10;        AUDIT[&quot;Audit &amp; Compliance Logging&quot;]&#10;        OBS[&quot;Observability&quot;]&#10;    end&#10;&#10;    GW --&gt; IAM&#10;    SALES --&gt; AUDIT&#10;    INTEL --&gt; OBS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mermaid:---&#10;config:&#10;  layout: elk&#10;---&#10;flowchart TD&#10;    subgraph CLIENT[&quot;Client Layer&quot;]&#10;        direction LR&#10;        WEB[&quot;Web App&quot;]&#10;        MOBILE[&quot;Mobile App&quot;]&#10;        PARTNER[&quot;Partner / API Clients&quot;]&#10;    end&#10;&#10;    GW[&quot;API Gateway&lt;br/&gt;OAuth2/OIDC + WAF/CDN&quot;]&#10;    WEB --&gt; GW&#10;    MOBILE --&gt; GW&#10;    PARTNER --&gt; GW&#10;&#10;    SALES[&quot;Sales &amp; Pipeline Services&lt;br/&gt;Lead - Account - Opportunity - Pipeline&quot;]&#10;    ENGAGE[&quot;Engagement Services&lt;br/&gt;Marketing - Support - Notification&quot;]&#10;    INTEL[&quot;Intelligence Services&lt;br/&gt;Analytics - Workflow Engine - AI/ML&quot;]&#10;&#10;    GW --&gt; SALES&#10;    GW --&gt; ENGAGE&#10;    GW --&gt; INTEL&#10;&#10;    subgraph DATA[&quot;Data Layer&quot;]&#10;        direction LR&#10;        DB[(&quot;PostgreSQL&quot;)]&#10;        SEARCH[(&quot;Elasticsearch&quot;)]&#10;        CACHE[(&quot;Redis Cache&quot;)]&#10;        DW[(&quot;Analytics Warehouse&quot;)]&#10;        FILES[(&quot;Object Storage&quot;)]&#10;    end&#10;&#10;    SALES --&gt; DB&#10;    ENGAGE --&gt; DB&#10;    SALES --&gt; SEARCH&#10;    SALES --&gt; CACHE&#10;    INTEL --&gt; DW&#10;    ENGAGE --&gt; FILES&#10;&#10;    BUS[&quot;Event Bus - Kafka&quot;]&#10;    CONN[&quot;ERP / Email / Billing Connectors&quot;]&#10;    INTEL --&gt; BUS&#10;    BUS --&gt; CONN&#10;&#10;    subgraph PLATFORM[&quot;Platform Services&quot;]&#10;        direction LR&#10;        IAM[&quot;Identity &amp; Access Mgmt&quot;]&#10;        AUDIT[&quot;Audit &amp; Compliance Logging&quot;]&#10;        OBS[&quot;Observability&quot;]&#10;    end&#10;&#10;    GW --&gt; IAM&#10;    SALES --&gt; AUDIT&#10;    INTEL --&gt; OBS&#10;"/>
                    <pic:cNvPicPr/>
                  </pic:nvPicPr>
                  <pic:blipFill>
                    <a:blip r:embed="R9d8a01855c144be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AA" w14:textId="001002AB">
      <w:pPr>
        <w:pStyle w:val="Heading2"/>
      </w:pPr>
      <w:r>
        <w:rPr>
          <w:b/>
          <w:sz w:val="32"/>
        </w:rPr>
        <w:t xml:space="preserve">8. UML Diagrams</w:t>
      </w:r>
    </w:p>
    <w:p w14:paraId="001002AC" w14:textId="001002AD">
      <w:pPr>
        <w:pStyle w:val="Heading3"/>
      </w:pPr>
      <w:r>
        <w:rPr>
          <w:b/>
          <w:sz w:val="28"/>
        </w:rPr>
        <w:t xml:space="preserve">8.1 Domain Class Diagram</w:t>
      </w:r>
    </w:p>
    <w:p w14:paraId="001002AE" w14:textId="001002AF">
      <w:pPr/>
      <w:r>
        <w:rPr/>
        <w:t xml:space="preserve">The core domain model below anchors every module described in the PRD (Section 6). Account and Contact form the customer backbone; Lead, Opportunity, and Activity drive the sales workflow; Campaign, Case, Product, and Quote extend into marketing, service, and revenue.</w:t>
      </w:r>
    </w:p>
    <w:p w14:paraId="001002B0" w14:textId="001002B1">
      <w:pPr>
        <w:spacing w:line="240" w:lineRule="auto"/>
      </w:pPr>
      <w:r>
        <w:drawing>
          <wp:inline distT="0" distB="0" distL="0" distR="0">
            <wp:extent cx="6120000" cy="7770976"/>
            <wp:effectExtent l="0" t="0" r="0" b="0"/>
            <wp:docPr id="2" name="mermaid:classDiagram&#10;    class Account {&#10;        +UUID id&#10;        +String name&#10;        +String industry&#10;        +String tier&#10;        +Address billingAddress&#10;    }&#10;    class Contact {&#10;        +UUID id&#10;        +String firstName&#10;        +String lastName&#10;        +String email&#10;        +String phone&#10;    }&#10;    class Lead {&#10;        +UUID id&#10;        +String source&#10;        +String status&#10;        +Int score&#10;        +convertToOpportunity()&#10;    }&#10;    class Opportunity {&#10;        +UUID id&#10;        +String stage&#10;        +Decimal amount&#10;        +Date closeDate&#10;        +advanceStage()&#10;    }&#10;    class Activity {&#10;        +UUID id&#10;        +String type&#10;        +DateTime timestamp&#10;        +String notes&#10;    }&#10;    class Campaign {&#10;        +UUID id&#10;        +String name&#10;        +Date startDate&#10;        +Date endDate&#10;        +Decimal budget&#10;    }&#10;    class Case {&#10;        +UUID id&#10;        +String subject&#10;        +String priority&#10;        +String status&#10;        +escalate()&#10;    }&#10;    class Product {&#10;        +UUID id&#10;        +String name&#10;        +Decimal listPrice&#10;    }&#10;    class Quote {&#10;        +UUID id&#10;        +Decimal total&#10;        +String status&#10;        +generatePdf()&#10;    }&#10;    class User {&#10;        +UUID id&#10;        +String name&#10;        +String role&#10;    }&#10;&#10;    Account &quot;1&quot; --&gt; &quot;many&quot; Contact : has&#10;    Account &quot;1&quot; --&gt; &quot;many&quot; Opportunity : has&#10;    Contact &quot;1&quot; --&gt; &quot;many&quot; Activity : logs&#10;    Lead &quot;1&quot; --&gt; &quot;0..1&quot; Opportunity : converts to&#10;    Opportunity &quot;1&quot; --&gt; &quot;many&quot; Quote : generates&#10;    Opportunity &quot;many&quot; --&gt; &quot;many&quot; Product : includes&#10;    Campaign &quot;1&quot; --&gt; &quot;many&quot; Lead : generates&#10;    Account &quot;1&quot; --&gt; &quot;many&quot; Case : files&#10;    User &quot;1&quot; --&gt; &quot;many&quot; Opportunity : owns&#10;    User &quot;1&quot; --&gt; &quot;many&quot; Lead : owns&#10;" descr="mermaid:classDiagram&#10;    class Account {&#10;        +UUID id&#10;        +String name&#10;        +String industry&#10;        +String tier&#10;        +Address billingAddress&#10;    }&#10;    class Contact {&#10;        +UUID id&#10;        +String firstName&#10;        +String lastName&#10;        +String email&#10;        +String phone&#10;    }&#10;    class Lead {&#10;        +UUID id&#10;        +String source&#10;        +String status&#10;        +Int score&#10;        +convertToOpportunity()&#10;    }&#10;    class Opportunity {&#10;        +UUID id&#10;        +String stage&#10;        +Decimal amount&#10;        +Date closeDate&#10;        +advanceStage()&#10;    }&#10;    class Activity {&#10;        +UUID id&#10;        +String type&#10;        +DateTime timestamp&#10;        +String notes&#10;    }&#10;    class Campaign {&#10;        +UUID id&#10;        +String name&#10;        +Date startDate&#10;        +Date endDate&#10;        +Decimal budget&#10;    }&#10;    class Case {&#10;        +UUID id&#10;        +String subject&#10;        +String priority&#10;        +String status&#10;        +escalate()&#10;    }&#10;    class Product {&#10;        +UUID id&#10;        +String name&#10;        +Decimal listPrice&#10;    }&#10;    class Quote {&#10;        +UUID id&#10;        +Decimal total&#10;        +String status&#10;        +generatePdf()&#10;    }&#10;    class User {&#10;        +UUID id&#10;        +String name&#10;        +String role&#10;    }&#10;&#10;    Account &quot;1&quot; --&gt; &quot;many&quot; Contact : has&#10;    Account &quot;1&quot; --&gt; &quot;many&quot; Opportunity : has&#10;    Contact &quot;1&quot; --&gt; &quot;many&quot; Activity : logs&#10;    Lead &quot;1&quot; --&gt; &quot;0..1&quot; Opportunity : converts to&#10;    Opportunity &quot;1&quot; --&gt; &quot;many&quot; Quote : generates&#10;    Opportunity &quot;many&quot; --&gt; &quot;many&quot; Product : includes&#10;    Campaign &quot;1&quot; --&gt; &quot;many&quot; Lead : generates&#10;    Account &quot;1&quot; --&gt; &quot;many&quot; Case : files&#10;    User &quot;1&quot; --&gt; &quot;many&quot; Opportunity : owns&#10;    User &quot;1&quot; --&gt; &quot;many&quot; Lead : owns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mermaid:classDiagram&#10;    class Account {&#10;        +UUID id&#10;        +String name&#10;        +String industry&#10;        +String tier&#10;        +Address billingAddress&#10;    }&#10;    class Contact {&#10;        +UUID id&#10;        +String firstName&#10;        +String lastName&#10;        +String email&#10;        +String phone&#10;    }&#10;    class Lead {&#10;        +UUID id&#10;        +String source&#10;        +String status&#10;        +Int score&#10;        +convertToOpportunity()&#10;    }&#10;    class Opportunity {&#10;        +UUID id&#10;        +String stage&#10;        +Decimal amount&#10;        +Date closeDate&#10;        +advanceStage()&#10;    }&#10;    class Activity {&#10;        +UUID id&#10;        +String type&#10;        +DateTime timestamp&#10;        +String notes&#10;    }&#10;    class Campaign {&#10;        +UUID id&#10;        +String name&#10;        +Date startDate&#10;        +Date endDate&#10;        +Decimal budget&#10;    }&#10;    class Case {&#10;        +UUID id&#10;        +String subject&#10;        +String priority&#10;        +String status&#10;        +escalate()&#10;    }&#10;    class Product {&#10;        +UUID id&#10;        +String name&#10;        +Decimal listPrice&#10;    }&#10;    class Quote {&#10;        +UUID id&#10;        +Decimal total&#10;        +String status&#10;        +generatePdf()&#10;    }&#10;    class User {&#10;        +UUID id&#10;        +String name&#10;        +String role&#10;    }&#10;&#10;    Account &quot;1&quot; --&gt; &quot;many&quot; Contact : has&#10;    Account &quot;1&quot; --&gt; &quot;many&quot; Opportunity : has&#10;    Contact &quot;1&quot; --&gt; &quot;many&quot; Activity : logs&#10;    Lead &quot;1&quot; --&gt; &quot;0..1&quot; Opportunity : converts to&#10;    Opportunity &quot;1&quot; --&gt; &quot;many&quot; Quote : generates&#10;    Opportunity &quot;many&quot; --&gt; &quot;many&quot; Product : includes&#10;    Campaign &quot;1&quot; --&gt; &quot;many&quot; Lead : generates&#10;    Account &quot;1&quot; --&gt; &quot;many&quot; Case : files&#10;    User &quot;1&quot; --&gt; &quot;many&quot; Opportunity : owns&#10;    User &quot;1&quot; --&gt; &quot;many&quot; Lead : owns&#10;"/>
                    <pic:cNvPicPr/>
                  </pic:nvPicPr>
                  <pic:blipFill>
                    <a:blip r:embed="R84c479e6a0e04d4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2" w14:textId="001002B3">
      <w:pPr>
        <w:pStyle w:val="Heading3"/>
      </w:pPr>
      <w:r>
        <w:rPr>
          <w:b/>
          <w:sz w:val="28"/>
        </w:rPr>
        <w:t xml:space="preserve">8.2 Sequence Diagram — Lead-to-Opportunity Conversion</w:t>
      </w:r>
    </w:p>
    <w:p w14:paraId="001002B4" w14:textId="001002B5">
      <w:pPr/>
      <w:r>
        <w:rPr/>
        <w:t xml:space="preserve">This sequence traces FR-01/FR-02 (Section 6.3): a lead is captured, scored, routed to a rep, and converted into a tracked opportunity, with the workflow engine firing notifications and audit events along the way.</w:t>
      </w:r>
    </w:p>
    <w:p w14:paraId="001002B6" w14:textId="001002B7">
      <w:pPr>
        <w:spacing w:line="240" w:lineRule="auto"/>
      </w:pPr>
      <w:r>
        <w:drawing>
          <wp:inline distT="0" distB="0" distL="0" distR="0">
            <wp:extent cx="6120000" cy="4003694"/>
            <wp:effectExtent l="0" t="0" r="0" b="0"/>
            <wp:docPr id="3" name="mermaid:sequenceDiagram&#10;    actor Rep as Sales Rep&#10;    participant UI as CRM Web App&#10;    participant LeadSvc as Lead &amp; Opportunity Service&#10;    participant WF as Workflow Engine&#10;    participant DB as Primary DB&#10;    participant Notif as Notification Service&#10;&#10;    Rep-&gt;&gt;UI: Submit new lead&#10;    UI-&gt;&gt;LeadSvc: POST /leads&#10;    LeadSvc-&gt;&gt;DB: Insert Lead record&#10;    LeadSvc-&gt;&gt;WF: Trigger scoring &amp; routing rule&#10;    WF-&gt;&gt;LeadSvc: Return score + assigned owner&#10;    LeadSvc-&gt;&gt;DB: Update Lead (score, owner)&#10;    LeadSvc-&gt;&gt;Notif: Notify assigned rep&#10;    Notif--&gt;&gt;Rep: Push / email notification&#10;    Rep-&gt;&gt;UI: Qualify lead and convert&#10;    UI-&gt;&gt;LeadSvc: POST /leads/{id}/convert&#10;    LeadSvc-&gt;&gt;DB: Create Account, Contact, Opportunity&#10;    LeadSvc-&gt;&gt;WF: Log conversion audit event&#10;    WF-&gt;&gt;DB: Write audit record&#10;    LeadSvc--&gt;&gt;UI: Return new Opportunity&#10;    UI--&gt;&gt;Rep: Show Opportunity in pipeline&#10;" descr="mermaid:sequenceDiagram&#10;    actor Rep as Sales Rep&#10;    participant UI as CRM Web App&#10;    participant LeadSvc as Lead &amp; Opportunity Service&#10;    participant WF as Workflow Engine&#10;    participant DB as Primary DB&#10;    participant Notif as Notification Service&#10;&#10;    Rep-&gt;&gt;UI: Submit new lead&#10;    UI-&gt;&gt;LeadSvc: POST /leads&#10;    LeadSvc-&gt;&gt;DB: Insert Lead record&#10;    LeadSvc-&gt;&gt;WF: Trigger scoring &amp; routing rule&#10;    WF-&gt;&gt;LeadSvc: Return score + assigned owner&#10;    LeadSvc-&gt;&gt;DB: Update Lead (score, owner)&#10;    LeadSvc-&gt;&gt;Notif: Notify assigned rep&#10;    Notif--&gt;&gt;Rep: Push / email notification&#10;    Rep-&gt;&gt;UI: Qualify lead and convert&#10;    UI-&gt;&gt;LeadSvc: POST /leads/{id}/convert&#10;    LeadSvc-&gt;&gt;DB: Create Account, Contact, Opportunity&#10;    LeadSvc-&gt;&gt;WF: Log conversion audit event&#10;    WF-&gt;&gt;DB: Write audit record&#10;    LeadSvc--&gt;&gt;UI: Return new Opportunity&#10;    UI--&gt;&gt;Rep: Show Opportunity in pipeline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ermaid:sequenceDiagram&#10;    actor Rep as Sales Rep&#10;    participant UI as CRM Web App&#10;    participant LeadSvc as Lead &amp; Opportunity Service&#10;    participant WF as Workflow Engine&#10;    participant DB as Primary DB&#10;    participant Notif as Notification Service&#10;&#10;    Rep-&gt;&gt;UI: Submit new lead&#10;    UI-&gt;&gt;LeadSvc: POST /leads&#10;    LeadSvc-&gt;&gt;DB: Insert Lead record&#10;    LeadSvc-&gt;&gt;WF: Trigger scoring &amp; routing rule&#10;    WF-&gt;&gt;LeadSvc: Return score + assigned owner&#10;    LeadSvc-&gt;&gt;DB: Update Lead (score, owner)&#10;    LeadSvc-&gt;&gt;Notif: Notify assigned rep&#10;    Notif--&gt;&gt;Rep: Push / email notification&#10;    Rep-&gt;&gt;UI: Qualify lead and convert&#10;    UI-&gt;&gt;LeadSvc: POST /leads/{id}/convert&#10;    LeadSvc-&gt;&gt;DB: Create Account, Contact, Opportunity&#10;    LeadSvc-&gt;&gt;WF: Log conversion audit event&#10;    WF-&gt;&gt;DB: Write audit record&#10;    LeadSvc--&gt;&gt;UI: Return new Opportunity&#10;    UI--&gt;&gt;Rep: Show Opportunity in pipeline&#10;"/>
                    <pic:cNvPicPr/>
                  </pic:nvPicPr>
                  <pic:blipFill>
                    <a:blip r:embed="R7f65e8c12bc24f6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8" w14:textId="001002B9">
      <w:pPr>
        <w:pStyle w:val="Heading2"/>
      </w:pPr>
      <w:r>
        <w:rPr>
          <w:b/>
          <w:sz w:val="32"/>
        </w:rPr>
        <w:t xml:space="preserve">9. Data Flow Diagrams</w:t>
      </w:r>
    </w:p>
    <w:p w14:paraId="001002BA" w14:textId="001002BB">
      <w:pPr>
        <w:pStyle w:val="Heading3"/>
      </w:pPr>
      <w:r>
        <w:rPr>
          <w:b/>
          <w:sz w:val="28"/>
        </w:rPr>
        <w:t xml:space="preserve">9.1 DFD Level 0 — Context Diagram</w:t>
      </w:r>
    </w:p>
    <w:p w14:paraId="001002BC" w14:textId="001002BD">
      <w:pPr/>
      <w:r>
        <w:rPr/>
        <w:t xml:space="preserve">The context diagram treats Boutinly Enterprise CRM as a single process and shows every external entity it exchanges data with.</w:t>
      </w:r>
    </w:p>
    <w:p w14:paraId="001002BE" w14:textId="001002BF">
      <w:pPr>
        <w:spacing w:line="240" w:lineRule="auto"/>
      </w:pPr>
      <w:r>
        <w:drawing>
          <wp:inline distT="0" distB="0" distL="0" distR="0">
            <wp:extent cx="6120000" cy="3644102"/>
            <wp:effectExtent l="0" t="0" r="0" b="0"/>
            <wp:docPr id="4" name="mermaid:flowchart LR&#10;    SalesRep([&quot;Sales Rep&quot;])&#10;    Marketing([&quot;Marketing User&quot;])&#10;    Support([&quot;Support Agent&quot;])&#10;    Customer([&quot;Customer&quot;])&#10;    Exec([&quot;Manager / Executive&quot;])&#10;    ERP[(&quot;ERP System&quot;)]&#10;    EmailCal[(&quot;Email / Calendar&quot;)]&#10;    Billing[(&quot;Billing System&quot;)]&#10;&#10;    CRM((&quot;0.0 Boutinly Enterprise CRM&quot;))&#10;&#10;    SalesRep --&gt;|Leads, Opportunities, Activities| CRM&#10;    Marketing --&gt;|Campaigns, Segments| CRM&#10;    Support --&gt;|Cases, Tickets| CRM&#10;    Customer --&gt;|Inquiries, Feedback| CRM&#10;    Exec --&gt;|Report Requests| CRM&#10;    CRM --&gt;|Quotes, Emails, Notifications| Customer&#10;    CRM --&gt;|KPIs, Forecasts, Dashboards| Exec&#10;    ERP &lt;--&gt;|Orders, Invoices| CRM&#10;    EmailCal &lt;--&gt;|Calendar and Mail Sync| CRM&#10;    Billing &lt;--&gt;|Payment Status| CRM&#10;" descr="mermaid:flowchart LR&#10;    SalesRep([&quot;Sales Rep&quot;])&#10;    Marketing([&quot;Marketing User&quot;])&#10;    Support([&quot;Support Agent&quot;])&#10;    Customer([&quot;Customer&quot;])&#10;    Exec([&quot;Manager / Executive&quot;])&#10;    ERP[(&quot;ERP System&quot;)]&#10;    EmailCal[(&quot;Email / Calendar&quot;)]&#10;    Billing[(&quot;Billing System&quot;)]&#10;&#10;    CRM((&quot;0.0 Boutinly Enterprise CRM&quot;))&#10;&#10;    SalesRep --&gt;|Leads, Opportunities, Activities| CRM&#10;    Marketing --&gt;|Campaigns, Segments| CRM&#10;    Support --&gt;|Cases, Tickets| CRM&#10;    Customer --&gt;|Inquiries, Feedback| CRM&#10;    Exec --&gt;|Report Requests| CRM&#10;    CRM --&gt;|Quotes, Emails, Notifications| Customer&#10;    CRM --&gt;|KPIs, Forecasts, Dashboards| Exec&#10;    ERP &lt;--&gt;|Orders, Invoices| CRM&#10;    EmailCal &lt;--&gt;|Calendar and Mail Sync| CRM&#10;    Billing &lt;--&gt;|Payment Status| CRM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ermaid:flowchart LR&#10;    SalesRep([&quot;Sales Rep&quot;])&#10;    Marketing([&quot;Marketing User&quot;])&#10;    Support([&quot;Support Agent&quot;])&#10;    Customer([&quot;Customer&quot;])&#10;    Exec([&quot;Manager / Executive&quot;])&#10;    ERP[(&quot;ERP System&quot;)]&#10;    EmailCal[(&quot;Email / Calendar&quot;)]&#10;    Billing[(&quot;Billing System&quot;)]&#10;&#10;    CRM((&quot;0.0 Boutinly Enterprise CRM&quot;))&#10;&#10;    SalesRep --&gt;|Leads, Opportunities, Activities| CRM&#10;    Marketing --&gt;|Campaigns, Segments| CRM&#10;    Support --&gt;|Cases, Tickets| CRM&#10;    Customer --&gt;|Inquiries, Feedback| CRM&#10;    Exec --&gt;|Report Requests| CRM&#10;    CRM --&gt;|Quotes, Emails, Notifications| Customer&#10;    CRM --&gt;|KPIs, Forecasts, Dashboards| Exec&#10;    ERP &lt;--&gt;|Orders, Invoices| CRM&#10;    EmailCal &lt;--&gt;|Calendar and Mail Sync| CRM&#10;    Billing &lt;--&gt;|Payment Status| CRM&#10;"/>
                    <pic:cNvPicPr/>
                  </pic:nvPicPr>
                  <pic:blipFill>
                    <a:blip r:embed="R56e48e908a634b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C0" w14:textId="001002C1">
      <w:pPr>
        <w:pStyle w:val="Heading3"/>
      </w:pPr>
      <w:r>
        <w:rPr>
          <w:b/>
          <w:sz w:val="28"/>
        </w:rPr>
        <w:t xml:space="preserve">9.2 DFD Level 1 — Major Process Decomposition</w:t>
      </w:r>
    </w:p>
    <w:p w14:paraId="001002C2" w14:textId="001002C3">
      <w:pPr/>
      <w:r>
        <w:rPr/>
        <w:t xml:space="preserve">Level 1 decomposes the single CRM process into its six major subprocesses and the data stores each one owns.</w:t>
      </w:r>
    </w:p>
    <w:p w14:paraId="001002C4" w14:textId="001002C5">
      <w:pPr>
        <w:spacing w:line="240" w:lineRule="auto"/>
      </w:pPr>
      <w:r>
        <w:drawing>
          <wp:inline distT="0" distB="0" distL="0" distR="0">
            <wp:extent cx="6120000" cy="4689782"/>
            <wp:effectExtent l="0" t="0" r="0" b="0"/>
            <wp:docPr id="5" name="mermaid:---&#10;config:&#10;  layout: elk&#10;---&#10;flowchart TB&#10;    SalesRep([&quot;Sales Rep&quot;])&#10;    Marketing([&quot;Marketing User&quot;])&#10;    Support([&quot;Support Agent&quot;])&#10;    Customer([&quot;Customer&quot;])&#10;    Exec([&quot;Manager / Executive&quot;])&#10;&#10;    P1[&quot;1.0 Lead and Opportunity Mgmt&quot;]&#10;    P2[&quot;2.0 Contact and Account Mgmt&quot;]&#10;    P3[&quot;3.0 Marketing Automation&quot;]&#10;    P4[&quot;4.0 Case and Support Mgmt&quot;]&#10;    P5[&quot;5.0 Analytics and Reporting&quot;]&#10;    P6[&quot;6.0 Workflow and Automation Engine&quot;]&#10;&#10;    D1[(&quot;D1 Leads / Opportunities&quot;)]&#10;    D2[(&quot;D2 Contacts / Accounts&quot;)]&#10;    D3[(&quot;D3 Campaigns&quot;)]&#10;    D4[(&quot;D4 Cases&quot;)]&#10;    D5[(&quot;D5 Activity Log&quot;)]&#10;&#10;    SalesRep --&gt; P1&#10;    Marketing --&gt; P3&#10;    Support --&gt; P4&#10;    Customer --&gt; P4&#10;    P1 &lt;--&gt; D1&#10;    P2 &lt;--&gt; D2&#10;    P3 &lt;--&gt; D3&#10;    P4 &lt;--&gt; D4&#10;    P3 --&gt; P1&#10;    P1 --&gt; P2&#10;    P4 --&gt; P2&#10;    P1 --&gt; D5&#10;    P2 --&gt; D5&#10;    P4 --&gt; D5&#10;    D5 --&gt; P5&#10;    P5 --&gt; Exec&#10;    P6 &lt;--&gt; P1&#10;    P6 &lt;--&gt; P4&#10;" descr="mermaid:---&#10;config:&#10;  layout: elk&#10;---&#10;flowchart TB&#10;    SalesRep([&quot;Sales Rep&quot;])&#10;    Marketing([&quot;Marketing User&quot;])&#10;    Support([&quot;Support Agent&quot;])&#10;    Customer([&quot;Customer&quot;])&#10;    Exec([&quot;Manager / Executive&quot;])&#10;&#10;    P1[&quot;1.0 Lead and Opportunity Mgmt&quot;]&#10;    P2[&quot;2.0 Contact and Account Mgmt&quot;]&#10;    P3[&quot;3.0 Marketing Automation&quot;]&#10;    P4[&quot;4.0 Case and Support Mgmt&quot;]&#10;    P5[&quot;5.0 Analytics and Reporting&quot;]&#10;    P6[&quot;6.0 Workflow and Automation Engine&quot;]&#10;&#10;    D1[(&quot;D1 Leads / Opportunities&quot;)]&#10;    D2[(&quot;D2 Contacts / Accounts&quot;)]&#10;    D3[(&quot;D3 Campaigns&quot;)]&#10;    D4[(&quot;D4 Cases&quot;)]&#10;    D5[(&quot;D5 Activity Log&quot;)]&#10;&#10;    SalesRep --&gt; P1&#10;    Marketing --&gt; P3&#10;    Support --&gt; P4&#10;    Customer --&gt; P4&#10;    P1 &lt;--&gt; D1&#10;    P2 &lt;--&gt; D2&#10;    P3 &lt;--&gt; D3&#10;    P4 &lt;--&gt; D4&#10;    P3 --&gt; P1&#10;    P1 --&gt; P2&#10;    P4 --&gt; P2&#10;    P1 --&gt; D5&#10;    P2 --&gt; D5&#10;    P4 --&gt; D5&#10;    D5 --&gt; P5&#10;    P5 --&gt; Exec&#10;    P6 &lt;--&gt; P1&#10;    P6 &lt;--&gt; P4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rmaid:---&#10;config:&#10;  layout: elk&#10;---&#10;flowchart TB&#10;    SalesRep([&quot;Sales Rep&quot;])&#10;    Marketing([&quot;Marketing User&quot;])&#10;    Support([&quot;Support Agent&quot;])&#10;    Customer([&quot;Customer&quot;])&#10;    Exec([&quot;Manager / Executive&quot;])&#10;&#10;    P1[&quot;1.0 Lead and Opportunity Mgmt&quot;]&#10;    P2[&quot;2.0 Contact and Account Mgmt&quot;]&#10;    P3[&quot;3.0 Marketing Automation&quot;]&#10;    P4[&quot;4.0 Case and Support Mgmt&quot;]&#10;    P5[&quot;5.0 Analytics and Reporting&quot;]&#10;    P6[&quot;6.0 Workflow and Automation Engine&quot;]&#10;&#10;    D1[(&quot;D1 Leads / Opportunities&quot;)]&#10;    D2[(&quot;D2 Contacts / Accounts&quot;)]&#10;    D3[(&quot;D3 Campaigns&quot;)]&#10;    D4[(&quot;D4 Cases&quot;)]&#10;    D5[(&quot;D5 Activity Log&quot;)]&#10;&#10;    SalesRep --&gt; P1&#10;    Marketing --&gt; P3&#10;    Support --&gt; P4&#10;    Customer --&gt; P4&#10;    P1 &lt;--&gt; D1&#10;    P2 &lt;--&gt; D2&#10;    P3 &lt;--&gt; D3&#10;    P4 &lt;--&gt; D4&#10;    P3 --&gt; P1&#10;    P1 --&gt; P2&#10;    P4 --&gt; P2&#10;    P1 --&gt; D5&#10;    P2 --&gt; D5&#10;    P4 --&gt; D5&#10;    D5 --&gt; P5&#10;    P5 --&gt; Exec&#10;    P6 &lt;--&gt; P1&#10;    P6 &lt;--&gt; P4&#10;"/>
                    <pic:cNvPicPr/>
                  </pic:nvPicPr>
                  <pic:blipFill>
                    <a:blip r:embed="R7f4cff44438c47f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8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C6" w14:textId="001002C7">
      <w:pPr>
        <w:pStyle w:val="Heading3"/>
      </w:pPr>
      <w:r>
        <w:rPr>
          <w:b/>
          <w:sz w:val="28"/>
        </w:rPr>
        <w:t xml:space="preserve">9.3 DFD Level 2 — Decomposition of "1.0 Lead &amp; Opportunity Management"</w:t>
      </w:r>
    </w:p>
    <w:p w14:paraId="001002C8" w14:textId="001002C9">
      <w:pPr/>
      <w:r>
        <w:rPr/>
        <w:t xml:space="preserve">Level 2 drills into the highest-value process from Level 1, tracing FR-01–FR-03 (Section 6.3) down to individual steps and their data stores.</w:t>
      </w:r>
    </w:p>
    <w:p w14:paraId="001002CA" w14:textId="001002CB">
      <w:pPr>
        <w:spacing w:line="240" w:lineRule="auto"/>
      </w:pPr>
      <w:r>
        <w:drawing>
          <wp:inline distT="0" distB="0" distL="0" distR="0">
            <wp:extent cx="6120000" cy="6636623"/>
            <wp:effectExtent l="0" t="0" r="0" b="0"/>
            <wp:docPr id="6" name="mermaid:---&#10;config:&#10;  layout: elk&#10;---&#10;flowchart TB&#10;    SalesRep([&quot;Sales Rep&quot;])&#10;    Marketing3([&quot;3.0 Marketing Automation&quot;])&#10;    WFEngine([&quot;6.0 Workflow Engine&quot;])&#10;    P2Contact([&quot;2.0 Contact and Account Mgmt&quot;])&#10;&#10;    P11[&quot;1.1 Capture Lead&quot;]&#10;    P12[&quot;1.2 Qualify and Score Lead&quot;]&#10;    P13[&quot;1.3 Assign and Route&quot;]&#10;    P14[&quot;1.4 Convert to Opportunity&quot;]&#10;    P15[&quot;1.5 Track Pipeline Stage&quot;]&#10;    P16[&quot;1.6 Generate Quote&quot;]&#10;&#10;    D1[(&quot;D1 Leads&quot;)]&#10;    D6[(&quot;D6 Routing Rules&quot;)]&#10;    D7[(&quot;D7 Opportunities&quot;)]&#10;    D8[(&quot;D8 Quotes&quot;)]&#10;&#10;    SalesRep --&gt; P11&#10;    Marketing3 --&gt; P11&#10;    P11 --&gt; D1&#10;    D1 --&gt; P12&#10;    P12 &lt;--&gt; WFEngine&#10;    P12 --&gt; P13&#10;    P13 &lt;--&gt; D6&#10;    P13 --&gt; SalesRep&#10;    P13 --&gt; P14&#10;    P14 --&gt; P2Contact&#10;    P14 --&gt; D7&#10;    P15 &lt;--&gt; D7&#10;    P14 --&gt; P15&#10;    P15 --&gt; P16&#10;    P16 --&gt; D8&#10;    P16 --&gt; SalesRep&#10;" descr="mermaid:---&#10;config:&#10;  layout: elk&#10;---&#10;flowchart TB&#10;    SalesRep([&quot;Sales Rep&quot;])&#10;    Marketing3([&quot;3.0 Marketing Automation&quot;])&#10;    WFEngine([&quot;6.0 Workflow Engine&quot;])&#10;    P2Contact([&quot;2.0 Contact and Account Mgmt&quot;])&#10;&#10;    P11[&quot;1.1 Capture Lead&quot;]&#10;    P12[&quot;1.2 Qualify and Score Lead&quot;]&#10;    P13[&quot;1.3 Assign and Route&quot;]&#10;    P14[&quot;1.4 Convert to Opportunity&quot;]&#10;    P15[&quot;1.5 Track Pipeline Stage&quot;]&#10;    P16[&quot;1.6 Generate Quote&quot;]&#10;&#10;    D1[(&quot;D1 Leads&quot;)]&#10;    D6[(&quot;D6 Routing Rules&quot;)]&#10;    D7[(&quot;D7 Opportunities&quot;)]&#10;    D8[(&quot;D8 Quotes&quot;)]&#10;&#10;    SalesRep --&gt; P11&#10;    Marketing3 --&gt; P11&#10;    P11 --&gt; D1&#10;    D1 --&gt; P12&#10;    P12 &lt;--&gt; WFEngine&#10;    P12 --&gt; P13&#10;    P13 &lt;--&gt; D6&#10;    P13 --&gt; SalesRep&#10;    P13 --&gt; P14&#10;    P14 --&gt; P2Contact&#10;    P14 --&gt; D7&#10;    P15 &lt;--&gt; D7&#10;    P14 --&gt; P15&#10;    P15 --&gt; P16&#10;    P16 --&gt; D8&#10;    P16 --&gt; SalesRep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rmaid:---&#10;config:&#10;  layout: elk&#10;---&#10;flowchart TB&#10;    SalesRep([&quot;Sales Rep&quot;])&#10;    Marketing3([&quot;3.0 Marketing Automation&quot;])&#10;    WFEngine([&quot;6.0 Workflow Engine&quot;])&#10;    P2Contact([&quot;2.0 Contact and Account Mgmt&quot;])&#10;&#10;    P11[&quot;1.1 Capture Lead&quot;]&#10;    P12[&quot;1.2 Qualify and Score Lead&quot;]&#10;    P13[&quot;1.3 Assign and Route&quot;]&#10;    P14[&quot;1.4 Convert to Opportunity&quot;]&#10;    P15[&quot;1.5 Track Pipeline Stage&quot;]&#10;    P16[&quot;1.6 Generate Quote&quot;]&#10;&#10;    D1[(&quot;D1 Leads&quot;)]&#10;    D6[(&quot;D6 Routing Rules&quot;)]&#10;    D7[(&quot;D7 Opportunities&quot;)]&#10;    D8[(&quot;D8 Quotes&quot;)]&#10;&#10;    SalesRep --&gt; P11&#10;    Marketing3 --&gt; P11&#10;    P11 --&gt; D1&#10;    D1 --&gt; P12&#10;    P12 &lt;--&gt; WFEngine&#10;    P12 --&gt; P13&#10;    P13 &lt;--&gt; D6&#10;    P13 --&gt; SalesRep&#10;    P13 --&gt; P14&#10;    P14 --&gt; P2Contact&#10;    P14 --&gt; D7&#10;    P15 &lt;--&gt; D7&#10;    P14 --&gt; P15&#10;    P15 --&gt; P16&#10;    P16 --&gt; D8&#10;    P16 --&gt; SalesRep&#10;"/>
                    <pic:cNvPicPr/>
                  </pic:nvPicPr>
                  <pic:blipFill>
                    <a:blip r:embed="R446608d7221f40d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CC" w14:textId="001002CD">
      <w:pPr>
        <w:pStyle w:val="Heading2"/>
      </w:pPr>
      <w:r>
        <w:rPr>
          <w:b/>
          <w:sz w:val="32"/>
        </w:rPr>
        <w:t xml:space="preserve">10. System Design</w:t>
      </w:r>
    </w:p>
    <w:p w14:paraId="001002CE" w14:textId="001002CF">
      <w:pPr>
        <w:pStyle w:val="Heading3"/>
      </w:pPr>
      <w:r>
        <w:rPr>
          <w:b/>
          <w:sz w:val="28"/>
        </w:rPr>
        <w:t xml:space="preserve">10.1 Technology Stack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2D0" w14:textId="001002D1">
            <w:r>
              <w:t xml:space="preserve">Layer</w:t>
            </w:r>
          </w:p>
        </w:tc>
        <w:tc>
          <w:p w14:paraId="001002D2" w14:textId="001002D3">
            <w:r>
              <w:t xml:space="preserve">Recommended Technology</w:t>
            </w:r>
          </w:p>
        </w:tc>
        <w:tc>
          <w:p w14:paraId="001002D4" w14:textId="001002D5">
            <w:r>
              <w:t xml:space="preserve">Rationale</w:t>
            </w:r>
          </w:p>
        </w:tc>
      </w:tr>
      <w:tr>
        <w:tc>
          <w:p w14:paraId="001002D6" w14:textId="001002D7">
            <w:r>
              <w:t xml:space="preserve">Frontend</w:t>
            </w:r>
          </w:p>
        </w:tc>
        <w:tc>
          <w:p w14:paraId="001002D8" w14:textId="001002D9">
            <w:r>
              <w:t xml:space="preserve">React + TypeScript, component design system</w:t>
            </w:r>
          </w:p>
        </w:tc>
        <w:tc>
          <w:p w14:paraId="001002DA" w14:textId="001002DB">
            <w:r>
              <w:t xml:space="preserve">Matches enterprise UX principles in Section 5; strong hiring pool and ecosystem</w:t>
            </w:r>
          </w:p>
        </w:tc>
      </w:tr>
      <w:tr>
        <w:tc>
          <w:p w14:paraId="001002DC" w14:textId="001002DD">
            <w:r>
              <w:t xml:space="preserve">Mobile</w:t>
            </w:r>
          </w:p>
        </w:tc>
        <w:tc>
          <w:p w14:paraId="001002DE" w14:textId="001002DF">
            <w:r>
              <w:t xml:space="preserve">React Native or native iOS/Android</w:t>
            </w:r>
          </w:p>
        </w:tc>
        <w:tc>
          <w:p w14:paraId="001002E0" w14:textId="001002E1">
            <w:r>
              <w:t xml:space="preserve">Shared logic with web where practical; native performance for field sales use</w:t>
            </w:r>
          </w:p>
        </w:tc>
      </w:tr>
      <w:tr>
        <w:tc>
          <w:p w14:paraId="001002E2" w14:textId="001002E3">
            <w:r>
              <w:t xml:space="preserve">API Gateway</w:t>
            </w:r>
          </w:p>
        </w:tc>
        <w:tc>
          <w:p w14:paraId="001002E4" w14:textId="001002E5">
            <w:r>
              <w:t xml:space="preserve">Managed API gateway with OAuth2/OIDC</w:t>
            </w:r>
          </w:p>
        </w:tc>
        <w:tc>
          <w:p w14:paraId="001002E6" w14:textId="001002E7">
            <w:r>
              <w:t xml:space="preserve">Centralizes auth (NFR-03/04/05) ahead of every service</w:t>
            </w:r>
          </w:p>
        </w:tc>
      </w:tr>
      <w:tr>
        <w:tc>
          <w:p w14:paraId="001002E8" w14:textId="001002E9">
            <w:r>
              <w:t xml:space="preserve">Backend services</w:t>
            </w:r>
          </w:p>
        </w:tc>
        <w:tc>
          <w:p w14:paraId="001002EA" w14:textId="001002EB">
            <w:r>
              <w:t xml:space="preserve">Containerized microservices (Node.js/Go/Java per team strength), REST + GraphQL</w:t>
            </w:r>
          </w:p>
        </w:tc>
        <w:tc>
          <w:p w14:paraId="001002EC" w14:textId="001002ED">
            <w:r>
              <w:t xml:space="preserve">Independent scaling per domain service; satisfies NFR-09</w:t>
            </w:r>
          </w:p>
        </w:tc>
      </w:tr>
      <w:tr>
        <w:tc>
          <w:p w14:paraId="001002EE" w14:textId="001002EF">
            <w:r>
              <w:t xml:space="preserve">Primary datastore</w:t>
            </w:r>
          </w:p>
        </w:tc>
        <w:tc>
          <w:p w14:paraId="001002F0" w14:textId="001002F1">
            <w:r>
              <w:t xml:space="preserve">PostgreSQL (multi-tenant, row-level security)</w:t>
            </w:r>
          </w:p>
        </w:tc>
        <w:tc>
          <w:p w14:paraId="001002F2" w14:textId="001002F3">
            <w:r>
              <w:t xml:space="preserve">ACID guarantees for transactional CRM data; RLS supports FR-15/FR-05</w:t>
            </w:r>
          </w:p>
        </w:tc>
      </w:tr>
      <w:tr>
        <w:tc>
          <w:p w14:paraId="001002F4" w14:textId="001002F5">
            <w:r>
              <w:t xml:space="preserve">Search</w:t>
            </w:r>
          </w:p>
        </w:tc>
        <w:tc>
          <w:p w14:paraId="001002F6" w14:textId="001002F7">
            <w:r>
              <w:t xml:space="preserve">Elasticsearch / OpenSearch</w:t>
            </w:r>
          </w:p>
        </w:tc>
        <w:tc>
          <w:p w14:paraId="001002F8" w14:textId="001002F9">
            <w:r>
              <w:t xml:space="preserve">Full-text and faceted search across leads, accounts, cases</w:t>
            </w:r>
          </w:p>
        </w:tc>
      </w:tr>
      <w:tr>
        <w:tc>
          <w:p w14:paraId="001002FA" w14:textId="001002FB">
            <w:r>
              <w:t xml:space="preserve">Cache</w:t>
            </w:r>
          </w:p>
        </w:tc>
        <w:tc>
          <w:p w14:paraId="001002FC" w14:textId="001002FD">
            <w:r>
              <w:t xml:space="preserve">Redis</w:t>
            </w:r>
          </w:p>
        </w:tc>
        <w:tc>
          <w:p w14:paraId="001002FE" w14:textId="001002FF">
            <w:r>
              <w:t xml:space="preserve">Session state and hot-path read caching for pipeline/dashboard views</w:t>
            </w:r>
          </w:p>
        </w:tc>
      </w:tr>
      <w:tr>
        <w:tc>
          <w:p w14:paraId="00100300" w14:textId="00100301">
            <w:r>
              <w:t xml:space="preserve">Analytics warehouse</w:t>
            </w:r>
          </w:p>
        </w:tc>
        <w:tc>
          <w:p w14:paraId="00100302" w14:textId="00100303">
            <w:r>
              <w:t xml:space="preserve">Columnar warehouse (e.g., Snowflake/BigQuery-class)</w:t>
            </w:r>
          </w:p>
        </w:tc>
        <w:tc>
          <w:p w14:paraId="00100304" w14:textId="00100305">
            <w:r>
              <w:t xml:space="preserve">Keeps heavy reporting queries off the transactional path (NFR-02)</w:t>
            </w:r>
          </w:p>
        </w:tc>
      </w:tr>
      <w:tr>
        <w:tc>
          <w:p w14:paraId="00100306" w14:textId="00100307">
            <w:r>
              <w:t xml:space="preserve">Event bus</w:t>
            </w:r>
          </w:p>
        </w:tc>
        <w:tc>
          <w:p w14:paraId="00100308" w14:textId="00100309">
            <w:r>
              <w:t xml:space="preserve">Kafka-class message broker</w:t>
            </w:r>
          </w:p>
        </w:tc>
        <w:tc>
          <w:p w14:paraId="0010030A" w14:textId="0010030B">
            <w:r>
              <w:t xml:space="preserve">Decouples the workflow engine from connectors; supports FR-12's future agentic layer</w:t>
            </w:r>
          </w:p>
        </w:tc>
      </w:tr>
      <w:tr>
        <w:tc>
          <w:p w14:paraId="0010030C" w14:textId="0010030D">
            <w:r>
              <w:t xml:space="preserve">Object storage</w:t>
            </w:r>
          </w:p>
        </w:tc>
        <w:tc>
          <w:p w14:paraId="0010030E" w14:textId="0010030F">
            <w:r>
              <w:t xml:space="preserve">S3-compatible storage</w:t>
            </w:r>
          </w:p>
        </w:tc>
        <w:tc>
          <w:p w14:paraId="00100310" w14:textId="00100311">
            <w:r>
              <w:t xml:space="preserve">Attachments, exports, generated quotes/PDFs</w:t>
            </w:r>
          </w:p>
        </w:tc>
      </w:tr>
      <w:tr>
        <w:tc>
          <w:p w14:paraId="00100312" w14:textId="00100313">
            <w:r>
              <w:t xml:space="preserve">Identity</w:t>
            </w:r>
          </w:p>
        </w:tc>
        <w:tc>
          <w:p w14:paraId="00100314" w14:textId="00100315">
            <w:r>
              <w:t xml:space="preserve">Centralized IAM (OIDC-compliant)</w:t>
            </w:r>
          </w:p>
        </w:tc>
        <w:tc>
          <w:p w14:paraId="00100316" w14:textId="00100317">
            <w:r>
              <w:t xml:space="preserve">Single sign-on and RBAC enforcement (FR-05)</w:t>
            </w:r>
          </w:p>
        </w:tc>
      </w:tr>
      <w:tr>
        <w:tc>
          <w:p w14:paraId="00100318" w14:textId="00100319">
            <w:r>
              <w:t xml:space="preserve">Observability</w:t>
            </w:r>
          </w:p>
        </w:tc>
        <w:tc>
          <w:p w14:paraId="0010031A" w14:textId="0010031B">
            <w:r>
              <w:t xml:space="preserve">Centralized logging, metrics, tracing</w:t>
            </w:r>
          </w:p>
        </w:tc>
        <w:tc>
          <w:p w14:paraId="0010031C" w14:textId="0010031D">
            <w:r>
              <w:t xml:space="preserve">Required to meet the 99.9% uptime SLA (NFR-01) operationally, not just architecturally</w:t>
            </w:r>
          </w:p>
        </w:tc>
      </w:tr>
    </w:tbl>
    <w:p w14:paraId="0010031E" w14:textId="0010031F">
      <w:pPr>
        <w:pStyle w:val="Heading3"/>
      </w:pPr>
      <w:r>
        <w:rPr>
          <w:b/>
          <w:sz w:val="28"/>
        </w:rPr>
        <w:t xml:space="preserve">10.2 Entity-Relationship Diagram</w:t>
      </w:r>
    </w:p>
    <w:p w14:paraId="00100320" w14:textId="00100321">
      <w:pPr/>
      <w:r>
        <w:rPr/>
        <w:t xml:space="preserve">The ER diagram below formalizes the class model from Section 8.1 into a relational schema, including the routing and audit stores introduced in the DFDs (Section 9).</w:t>
      </w:r>
    </w:p>
    <w:p w14:paraId="00100322" w14:textId="00100323">
      <w:pPr>
        <w:spacing w:line="240" w:lineRule="auto"/>
      </w:pPr>
      <w:r>
        <w:drawing>
          <wp:inline distT="0" distB="0" distL="0" distR="0">
            <wp:extent cx="6120000" cy="5773667"/>
            <wp:effectExtent l="0" t="0" r="0" b="0"/>
            <wp:docPr id="7" name="mermaid:erDiagram&#10;    ACCOUNT ||--o{ CONTACT : has&#10;    ACCOUNT ||--o{ OPPORTUNITY : has&#10;    ACCOUNT ||--o{ CASE : files&#10;    CONTACT ||--o{ ACTIVITY : logs&#10;    LEAD ||--o| OPPORTUNITY : converts_to&#10;    OPPORTUNITY ||--o{ QUOTE : generates&#10;    OPPORTUNITY }o--o{ PRODUCT : includes&#10;    CAMPAIGN ||--o{ LEAD : generates&#10;    USER ||--o{ OPPORTUNITY : owns&#10;    USER ||--o{ LEAD : owns&#10;    LEAD ||--o{ AUDIT_LOG : writes&#10;&#10;    ACCOUNT {&#10;        uuid id PK&#10;        string name&#10;        string industry&#10;        string tier&#10;    }&#10;    CONTACT {&#10;        uuid id PK&#10;        uuid account_id FK&#10;        string first_name&#10;        string last_name&#10;        string email&#10;    }&#10;    LEAD {&#10;        uuid id PK&#10;        uuid owner_id FK&#10;        uuid campaign_id FK&#10;        string source&#10;        string status&#10;        int score&#10;    }&#10;    OPPORTUNITY {&#10;        uuid id PK&#10;        uuid account_id FK&#10;        uuid owner_id FK&#10;        string stage&#10;        decimal amount&#10;        date close_date&#10;    }&#10;    ACTIVITY {&#10;        uuid id PK&#10;        uuid contact_id FK&#10;        string type&#10;        datetime occurred_at&#10;    }&#10;    CAMPAIGN {&#10;        uuid id PK&#10;        string name&#10;        decimal budget&#10;    }&#10;    CASE {&#10;        uuid id PK&#10;        uuid account_id FK&#10;        string subject&#10;        string priority&#10;        string status&#10;    }&#10;    PRODUCT {&#10;        uuid id PK&#10;        string name&#10;        decimal list_price&#10;    }&#10;    QUOTE {&#10;        uuid id PK&#10;        uuid opportunity_id FK&#10;        decimal total&#10;        string status&#10;    }&#10;    USER {&#10;        uuid id PK&#10;        string name&#10;        string role&#10;    }&#10;    AUDIT_LOG {&#10;        uuid id PK&#10;        uuid lead_id FK&#10;        string event_type&#10;        datetime logged_at&#10;    }&#10;" descr="mermaid:erDiagram&#10;    ACCOUNT ||--o{ CONTACT : has&#10;    ACCOUNT ||--o{ OPPORTUNITY : has&#10;    ACCOUNT ||--o{ CASE : files&#10;    CONTACT ||--o{ ACTIVITY : logs&#10;    LEAD ||--o| OPPORTUNITY : converts_to&#10;    OPPORTUNITY ||--o{ QUOTE : generates&#10;    OPPORTUNITY }o--o{ PRODUCT : includes&#10;    CAMPAIGN ||--o{ LEAD : generates&#10;    USER ||--o{ OPPORTUNITY : owns&#10;    USER ||--o{ LEAD : owns&#10;    LEAD ||--o{ AUDIT_LOG : writes&#10;&#10;    ACCOUNT {&#10;        uuid id PK&#10;        string name&#10;        string industry&#10;        string tier&#10;    }&#10;    CONTACT {&#10;        uuid id PK&#10;        uuid account_id FK&#10;        string first_name&#10;        string last_name&#10;        string email&#10;    }&#10;    LEAD {&#10;        uuid id PK&#10;        uuid owner_id FK&#10;        uuid campaign_id FK&#10;        string source&#10;        string status&#10;        int score&#10;    }&#10;    OPPORTUNITY {&#10;        uuid id PK&#10;        uuid account_id FK&#10;        uuid owner_id FK&#10;        string stage&#10;        decimal amount&#10;        date close_date&#10;    }&#10;    ACTIVITY {&#10;        uuid id PK&#10;        uuid contact_id FK&#10;        string type&#10;        datetime occurred_at&#10;    }&#10;    CAMPAIGN {&#10;        uuid id PK&#10;        string name&#10;        decimal budget&#10;    }&#10;    CASE {&#10;        uuid id PK&#10;        uuid account_id FK&#10;        string subject&#10;        string priority&#10;        string status&#10;    }&#10;    PRODUCT {&#10;        uuid id PK&#10;        string name&#10;        decimal list_price&#10;    }&#10;    QUOTE {&#10;        uuid id PK&#10;        uuid opportunity_id FK&#10;        decimal total&#10;        string status&#10;    }&#10;    USER {&#10;        uuid id PK&#10;        string name&#10;        string role&#10;    }&#10;    AUDIT_LOG {&#10;        uuid id PK&#10;        uuid lead_id FK&#10;        string event_type&#10;        datetime logged_at&#10;    }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rmaid:erDiagram&#10;    ACCOUNT ||--o{ CONTACT : has&#10;    ACCOUNT ||--o{ OPPORTUNITY : has&#10;    ACCOUNT ||--o{ CASE : files&#10;    CONTACT ||--o{ ACTIVITY : logs&#10;    LEAD ||--o| OPPORTUNITY : converts_to&#10;    OPPORTUNITY ||--o{ QUOTE : generates&#10;    OPPORTUNITY }o--o{ PRODUCT : includes&#10;    CAMPAIGN ||--o{ LEAD : generates&#10;    USER ||--o{ OPPORTUNITY : owns&#10;    USER ||--o{ LEAD : owns&#10;    LEAD ||--o{ AUDIT_LOG : writes&#10;&#10;    ACCOUNT {&#10;        uuid id PK&#10;        string name&#10;        string industry&#10;        string tier&#10;    }&#10;    CONTACT {&#10;        uuid id PK&#10;        uuid account_id FK&#10;        string first_name&#10;        string last_name&#10;        string email&#10;    }&#10;    LEAD {&#10;        uuid id PK&#10;        uuid owner_id FK&#10;        uuid campaign_id FK&#10;        string source&#10;        string status&#10;        int score&#10;    }&#10;    OPPORTUNITY {&#10;        uuid id PK&#10;        uuid account_id FK&#10;        uuid owner_id FK&#10;        string stage&#10;        decimal amount&#10;        date close_date&#10;    }&#10;    ACTIVITY {&#10;        uuid id PK&#10;        uuid contact_id FK&#10;        string type&#10;        datetime occurred_at&#10;    }&#10;    CAMPAIGN {&#10;        uuid id PK&#10;        string name&#10;        decimal budget&#10;    }&#10;    CASE {&#10;        uuid id PK&#10;        uuid account_id FK&#10;        string subject&#10;        string priority&#10;        string status&#10;    }&#10;    PRODUCT {&#10;        uuid id PK&#10;        string name&#10;        decimal list_price&#10;    }&#10;    QUOTE {&#10;        uuid id PK&#10;        uuid opportunity_id FK&#10;        decimal total&#10;        string status&#10;    }&#10;    USER {&#10;        uuid id PK&#10;        string name&#10;        string role&#10;    }&#10;    AUDIT_LOG {&#10;        uuid id PK&#10;        uuid lead_id FK&#10;        string event_type&#10;        datetime logged_at&#10;    }&#10;"/>
                    <pic:cNvPicPr/>
                  </pic:nvPicPr>
                  <pic:blipFill>
                    <a:blip r:embed="R360fb05bd28843d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324" w14:textId="00100325">
      <w:pPr>
        <w:pStyle w:val="Heading3"/>
      </w:pPr>
      <w:r>
        <w:rPr>
          <w:b/>
          <w:sz w:val="28"/>
        </w:rPr>
        <w:t xml:space="preserve">10.3 Architecture &amp; Security Decisions</w:t>
      </w:r>
    </w:p>
    <w:p w14:paraId="00100326" w14:textId="00100327">
      <w:pPr>
        <w:numPr>
          <w:ilvl w:val="0"/>
          <w:numId w:val="10"/>
        </w:numPr>
      </w:pPr>
      <w:r>
        <w:rPr>
          <w:b/>
        </w:rPr>
        <w:t xml:space="preserve">Multi-tenancy:</w:t>
      </w:r>
      <w:r>
        <w:t xml:space="preserve"> shared schema with row-level security (tenant_id on every table) rather than schema-per-tenant — simpler operations at the cost of stricter RLS discipline; revisit schema-per-tenant only for regulated customers requiring physical isolation.</w:t>
      </w:r>
    </w:p>
    <w:p w14:paraId="00100328" w14:textId="00100329">
      <w:pPr>
        <w:numPr>
          <w:ilvl w:val="0"/>
          <w:numId w:val="10"/>
        </w:numPr>
      </w:pPr>
      <w:r>
        <w:rPr>
          <w:b/>
        </w:rPr>
        <w:t xml:space="preserve">Zero-trust internal traffic:</w:t>
      </w:r>
      <w:r>
        <w:t xml:space="preserve"> every service-to-service call authenticated (mTLS or signed service tokens), even inside the private network — assume breach, not perimeter-only defense.</w:t>
      </w:r>
    </w:p>
    <w:p w14:paraId="0010032A" w14:textId="0010032B">
      <w:pPr>
        <w:numPr>
          <w:ilvl w:val="0"/>
          <w:numId w:val="10"/>
        </w:numPr>
      </w:pPr>
      <w:r>
        <w:rPr>
          <w:b/>
        </w:rPr>
        <w:t xml:space="preserve">Event-driven workflow engine:</w:t>
      </w:r>
      <w:r>
        <w:t xml:space="preserve"> the workflow/automation engine (Section 7) subscribes to the event bus rather than being called synchronously, so FR-12's agentic automation can be layered on without redesigning the core services (BCG's "assisted → autonomous" maturity ladder, Section 3.5).</w:t>
      </w:r>
    </w:p>
    <w:p w14:paraId="0010032C" w14:textId="0010032D">
      <w:pPr>
        <w:numPr>
          <w:ilvl w:val="0"/>
          <w:numId w:val="10"/>
        </w:numPr>
      </w:pPr>
      <w:r>
        <w:rPr>
          <w:b/>
        </w:rPr>
        <w:t xml:space="preserve">Read/write separation for analytics:</w:t>
      </w:r>
      <w:r>
        <w:t xml:space="preserve"> Section 5's "field leadership actually trusts" (3.3) requires drill-through from dashboard to source record — the warehouse must retain foreign keys back to transactional IDs, not just aggregated snapshots.</w:t>
      </w:r>
    </w:p>
    <w:p w14:paraId="0010032E" w14:textId="0010032F">
      <w:pPr>
        <w:numPr>
          <w:ilvl w:val="0"/>
          <w:numId w:val="10"/>
        </w:numPr>
      </w:pPr>
      <w:r>
        <w:rPr>
          <w:b/>
        </w:rPr>
        <w:t xml:space="preserve">Audit-first design:</w:t>
      </w:r>
      <w:r>
        <w:t xml:space="preserve"> every write to Lead, Opportunity, Account, and Case emits an audit event (NFR-08) — audit logging is a first-class side effect of the domain model, not a bolted-on interceptor.</w:t>
      </w:r>
    </w:p>
    <w:p w14:paraId="00100330" w14:textId="00100331">
      <w:pPr>
        <w:numPr>
          <w:ilvl w:val="0"/>
          <w:numId w:val="10"/>
        </w:numPr>
      </w:pPr>
      <w:r>
        <w:rPr>
          <w:b/>
        </w:rPr>
        <w:t xml:space="preserve">API-first extensibility:</w:t>
      </w:r>
      <w:r>
        <w:t xml:space="preserve"> every core object exposed via REST/GraphQL and webhooks from day one (NFR-09) — this is what makes FR-06's ERP/billing integrations sustainable instead of one-off.</w:t>
      </w:r>
    </w:p>
    <w:p w14:paraId="00100332" w14:textId="00100333">
      <w:pPr>
        <w:pBdr/>
      </w:pPr>
    </w:p>
    <w:p w14:paraId="00100334" w14:textId="00100335">
      <w:pPr>
        <w:pStyle w:val="Heading2"/>
      </w:pPr>
      <w:r>
        <w:rPr>
          <w:b/>
          <w:sz w:val="32"/>
        </w:rPr>
        <w:t xml:space="preserve">Appendix A: Sources</w:t>
      </w:r>
    </w:p>
    <w:p w14:paraId="00100336" w14:textId="00100337">
      <w:pPr/>
      <w:r>
        <w:rPr>
          <w:b/>
        </w:rPr>
        <w:t xml:space="preserve">Market size, share, and TAM/SAM/SOM (Section 1):</w:t>
      </w:r>
    </w:p>
    <w:p w14:paraId="00100338" w14:textId="00100339">
      <w:pPr>
        <w:numPr>
          <w:ilvl w:val="0"/>
          <w:numId w:val="11"/>
        </w:numPr>
      </w:pPr>
      <w:r>
        <w:rPr/>
        <w:t xml:space="preserve">IDC Worldwide Semi-Annual Software Tracker (via industry aggregation) — https://www.resonatehq.com/blog/hubspot-market-share</w:t>
      </w:r>
    </w:p>
    <w:p w14:paraId="0010033A" w14:textId="0010033B">
      <w:pPr>
        <w:numPr>
          <w:ilvl w:val="0"/>
          <w:numId w:val="11"/>
        </w:numPr>
      </w:pPr>
      <w:r>
        <w:rPr/>
        <w:t xml:space="preserve">CRM Statistics 2026 — Axis Intelligence — https://axis-intelligence.com/crm-statistics/</w:t>
      </w:r>
    </w:p>
    <w:p w14:paraId="0010033C" w14:textId="0010033D">
      <w:pPr>
        <w:numPr>
          <w:ilvl w:val="0"/>
          <w:numId w:val="11"/>
        </w:numPr>
      </w:pPr>
      <w:r>
        <w:rPr/>
        <w:t xml:space="preserve">CRM Market Share &amp; Top Vendors — WebbyCrown — https://www.webbycrown.com/crm-market-share/</w:t>
      </w:r>
    </w:p>
    <w:p w14:paraId="0010033E" w14:textId="0010033F">
      <w:pPr>
        <w:numPr>
          <w:ilvl w:val="0"/>
          <w:numId w:val="11"/>
        </w:numPr>
      </w:pPr>
      <w:r>
        <w:rPr/>
        <w:t xml:space="preserve">CRM Statistics 2026 — Searchlab — https://searchlab.nl/en/statistics/crm-statistics-2026</w:t>
      </w:r>
    </w:p>
    <w:p w14:paraId="00100340" w14:textId="00100341">
      <w:pPr>
        <w:numPr>
          <w:ilvl w:val="0"/>
          <w:numId w:val="11"/>
        </w:numPr>
      </w:pPr>
      <w:r>
        <w:rPr/>
        <w:t xml:space="preserve">CRM Software Market Report — Research and Markets — https://www.researchandmarkets.com/reports/5735141/crm-software-market-report</w:t>
      </w:r>
    </w:p>
    <w:p w14:paraId="00100342" w14:textId="00100343">
      <w:pPr>
        <w:numPr>
          <w:ilvl w:val="0"/>
          <w:numId w:val="11"/>
        </w:numPr>
      </w:pPr>
      <w:r>
        <w:rPr/>
        <w:t xml:space="preserve">CRM Software Market — SkyQuest — https://www.skyquestt.com/report/crm-software-market</w:t>
      </w:r>
    </w:p>
    <w:p w14:paraId="00100344" w14:textId="00100345">
      <w:pPr>
        <w:numPr>
          <w:ilvl w:val="0"/>
          <w:numId w:val="11"/>
        </w:numPr>
      </w:pPr>
      <w:r>
        <w:rPr/>
        <w:t xml:space="preserve">Customer Relationship Management Market — Fortune Business Insights — https://www.fortunebusinessinsights.com/customer-relationship-management-crm-market-103418</w:t>
      </w:r>
    </w:p>
    <w:p w14:paraId="00100346" w14:textId="00100347">
      <w:pPr>
        <w:numPr>
          <w:ilvl w:val="0"/>
          <w:numId w:val="11"/>
        </w:numPr>
      </w:pPr>
      <w:r>
        <w:rPr/>
        <w:t xml:space="preserve">CRM Software Global Market Report — The Business Research Company — https://www.thebusinessresearchcompany.com/report/crm-software-global-market-report</w:t>
      </w:r>
    </w:p>
    <w:p w14:paraId="00100348" w14:textId="00100349">
      <w:pPr>
        <w:numPr>
          <w:ilvl w:val="0"/>
          <w:numId w:val="11"/>
        </w:numPr>
      </w:pPr>
      <w:r>
        <w:rPr/>
        <w:t xml:space="preserve">Salesforce Statistics, Trends &amp; Market Share 2026 — TechnologyChecker — https://technologychecker.io/blog/salesforce-statistics-trends-insights-and-salesforce-market-share</w:t>
      </w:r>
    </w:p>
    <w:p w14:paraId="0010034A" w14:textId="0010034B">
      <w:pPr>
        <w:numPr>
          <w:ilvl w:val="0"/>
          <w:numId w:val="11"/>
        </w:numPr>
      </w:pPr>
      <w:r>
        <w:rPr/>
        <w:t xml:space="preserve">Best CRM Platforms 2026 — 6sense — https://6sense.com/tech/crm-platforms</w:t>
      </w:r>
    </w:p>
    <w:p w14:paraId="0010034C" w14:textId="0010034D">
      <w:pPr/>
      <w:r>
        <w:rPr>
          <w:b/>
        </w:rPr>
        <w:t xml:space="preserve">Non-negotiable features and enterprise expectations (Sections 2, 4):</w:t>
      </w:r>
    </w:p>
    <w:p w14:paraId="0010034E" w14:textId="0010034F">
      <w:pPr>
        <w:numPr>
          <w:ilvl w:val="0"/>
          <w:numId w:val="12"/>
        </w:numPr>
      </w:pPr>
      <w:r>
        <w:rPr/>
        <w:t xml:space="preserve">Ultimate Enterprise CRM Buying Guide 2026 — https://erpcrmtrend.com/enterprise-crm-buying-guide-2026</w:t>
      </w:r>
    </w:p>
    <w:p w14:paraId="00100350" w14:textId="00100351">
      <w:pPr>
        <w:numPr>
          <w:ilvl w:val="0"/>
          <w:numId w:val="12"/>
        </w:numPr>
      </w:pPr>
      <w:r>
        <w:rPr/>
        <w:t xml:space="preserve">7 Non-Negotiable Features in Enterprise CRM Sync — Stacksync — https://www.stacksync.com/blog/evaluating-enterprise-grade-crm-sync-solutions-7-non-negotiable-features</w:t>
      </w:r>
    </w:p>
    <w:p w14:paraId="00100352" w14:textId="00100353">
      <w:pPr>
        <w:numPr>
          <w:ilvl w:val="0"/>
          <w:numId w:val="12"/>
        </w:numPr>
      </w:pPr>
      <w:r>
        <w:rPr/>
        <w:t xml:space="preserve">15 Essential CRM Features Checklist 2026 — Alphonso Labs — https://www.alphonsolabs.com/crm-essential-features-checklist-2026/</w:t>
      </w:r>
    </w:p>
    <w:p w14:paraId="00100354" w14:textId="00100355">
      <w:pPr>
        <w:numPr>
          <w:ilvl w:val="0"/>
          <w:numId w:val="12"/>
        </w:numPr>
      </w:pPr>
      <w:r>
        <w:rPr/>
        <w:t xml:space="preserve">CRM Features in 2026: Which Ones Actually Matter — Tomba — https://tomba.io/blog/crm-features</w:t>
      </w:r>
    </w:p>
    <w:p w14:paraId="00100356" w14:textId="00100357">
      <w:pPr/>
      <w:r>
        <w:rPr>
          <w:b/>
        </w:rPr>
        <w:t xml:space="preserve">Consulting whitepapers (Section 3):</w:t>
      </w:r>
    </w:p>
    <w:p w14:paraId="00100358" w14:textId="00100359">
      <w:pPr>
        <w:numPr>
          <w:ilvl w:val="0"/>
          <w:numId w:val="13"/>
        </w:numPr>
      </w:pPr>
      <w:r>
        <w:rPr/>
        <w:t xml:space="preserve">PwC 29th Global CEO Survey (2026) — https://www.pwc.com/gx/en/issues/c-suite-insights/ceo-survey.html</w:t>
      </w:r>
    </w:p>
    <w:p w14:paraId="0010035A" w14:textId="0010035B">
      <w:pPr>
        <w:numPr>
          <w:ilvl w:val="0"/>
          <w:numId w:val="13"/>
        </w:numPr>
      </w:pPr>
      <w:r>
        <w:rPr/>
        <w:t xml:space="preserve">PwC 2026 Global CEO Survey press release — https://www.pwc.com/gx/en/news-room/press-releases/2026/pwc-2026-global-ceo-survey.html</w:t>
      </w:r>
    </w:p>
    <w:p w14:paraId="0010035C" w14:textId="0010035D">
      <w:pPr>
        <w:numPr>
          <w:ilvl w:val="0"/>
          <w:numId w:val="13"/>
        </w:numPr>
      </w:pPr>
      <w:r>
        <w:rPr/>
        <w:t xml:space="preserve">McKinsey — The Value of Getting Personalization Right — or Wrong — Is Multiplying — https://www.mckinsey.com (referenced via search synthesis)</w:t>
      </w:r>
    </w:p>
    <w:p w14:paraId="0010035E" w14:textId="0010035F">
      <w:pPr>
        <w:numPr>
          <w:ilvl w:val="0"/>
          <w:numId w:val="13"/>
        </w:numPr>
      </w:pPr>
      <w:r>
        <w:rPr/>
        <w:t xml:space="preserve">McKinsey — Elevating Customer Satisfaction and Growth Through Service to Solutions — https://www.mckinsey.com/capabilities/operations/our-insights/elevating-customer-satisfaction-and-growth-through-service-to-solutions</w:t>
      </w:r>
    </w:p>
    <w:p w14:paraId="00100360" w14:textId="00100361">
      <w:pPr>
        <w:numPr>
          <w:ilvl w:val="0"/>
          <w:numId w:val="13"/>
        </w:numPr>
      </w:pPr>
      <w:r>
        <w:rPr/>
        <w:t xml:space="preserve">Deloitte Digital — Customer Service Excellence 2025 — https://www.deloittedigital.com/nl/en/insights/perspective/customer-service-excellence-2025.html</w:t>
      </w:r>
    </w:p>
    <w:p w14:paraId="00100362" w14:textId="00100363">
      <w:pPr>
        <w:numPr>
          <w:ilvl w:val="0"/>
          <w:numId w:val="13"/>
        </w:numPr>
      </w:pPr>
      <w:r>
        <w:rPr/>
        <w:t xml:space="preserve">Deloitte Digital — Deloitte CX Study 2025 — https://www.deloittedigital.com/de/en/insights/research/deloitte-cx-study-2025.html</w:t>
      </w:r>
    </w:p>
    <w:p w14:paraId="00100364" w14:textId="00100365">
      <w:pPr>
        <w:numPr>
          <w:ilvl w:val="0"/>
          <w:numId w:val="13"/>
        </w:numPr>
      </w:pPr>
      <w:r>
        <w:rPr/>
        <w:t xml:space="preserve">KPMG — Global Customer Experience Excellence 2025–2026 — https://kpmg.com/xx/en/our-insights/transformation/global-customer-experience-excellence.html</w:t>
      </w:r>
    </w:p>
    <w:p w14:paraId="00100366" w14:textId="00100367">
      <w:pPr>
        <w:numPr>
          <w:ilvl w:val="0"/>
          <w:numId w:val="13"/>
        </w:numPr>
      </w:pPr>
      <w:r>
        <w:rPr/>
        <w:t xml:space="preserve">KPMG CEE 2025-2026 report PDF — https://assets.kpmg.com/content/dam/kpmg/cn/pdf/en/2025/12/global-customer-experience-excellence-2025-2026.pdf</w:t>
      </w:r>
    </w:p>
    <w:p w14:paraId="00100368" w14:textId="00100369">
      <w:pPr>
        <w:numPr>
          <w:ilvl w:val="0"/>
          <w:numId w:val="13"/>
        </w:numPr>
      </w:pPr>
      <w:r>
        <w:rPr/>
        <w:t xml:space="preserve">BCG — How AI Agents Will Transform B2B Sales (2025) — https://www.bcg.com/publications/2025/how-ai-agents-will-transform-b2b-sales</w:t>
      </w:r>
    </w:p>
    <w:p w14:paraId="0010036A" w14:textId="0010036B">
      <w:pPr/>
      <w:r>
        <w:rPr>
          <w:b/>
        </w:rPr>
        <w:t xml:space="preserve">UI/UX for enterprise CRM (Section 5):</w:t>
      </w:r>
    </w:p>
    <w:p w14:paraId="0010036C" w14:textId="0010036D">
      <w:pPr>
        <w:numPr>
          <w:ilvl w:val="0"/>
          <w:numId w:val="14"/>
        </w:numPr>
      </w:pPr>
      <w:r>
        <w:rPr/>
        <w:t xml:space="preserve">CRM Design Best Practices — Aufait UX — https://www.aufaitux.com/blog/crm-ux-design-best-practices/</w:t>
      </w:r>
    </w:p>
    <w:p w14:paraId="0010036E" w14:textId="0010036F">
      <w:pPr>
        <w:numPr>
          <w:ilvl w:val="0"/>
          <w:numId w:val="14"/>
        </w:numPr>
      </w:pPr>
      <w:r>
        <w:rPr/>
        <w:t xml:space="preserve">Enterprise UX Design 2026 — Fuselab Creative — https://fuselabcreative.com/enterprise-ux-design-guide-2026-best-practices/</w:t>
      </w:r>
    </w:p>
    <w:p w14:paraId="00100370" w14:textId="00100371">
      <w:pPr>
        <w:numPr>
          <w:ilvl w:val="0"/>
          <w:numId w:val="14"/>
        </w:numPr>
      </w:pPr>
      <w:r>
        <w:rPr/>
        <w:t xml:space="preserve">Enterprise UI/UX Best Practices — Ronas IT — https://ronasit.com/blog/designing-for-complexity/</w:t>
      </w:r>
    </w:p>
    <w:p w14:paraId="00100372" w14:textId="00100373">
      <w:pPr>
        <w:numPr>
          <w:ilvl w:val="0"/>
          <w:numId w:val="14"/>
        </w:numPr>
      </w:pPr>
      <w:r>
        <w:rPr/>
        <w:t xml:space="preserve">8 CRM UX Design Best Practices — Design Studio UI/UX — https://www.designstudiouiux.com/blog/crm-ux-design-best-practices/</w:t>
      </w:r>
    </w:p>
    <w:p w14:paraId="00100374" w14:textId="00100375">
      <w:pPr/>
      <w:r>
        <w:rPr>
          <w:i/>
        </w:rPr>
        <w:t xml:space="preserve">Note: figures vary across sources due to differing market-definition methodology (core CRM vs. broader CX/marketing-automation scope); Section 1.1 presents the range rather than a single number for this reason. TAM/SAM/SOM figures in Section 1.3 are a modeled framework, not a published third-party estimate, and should be refined once Boutinly's target segment and geography are finalized.</w:t>
      </w:r>
    </w:p>
    <w:sectPr>
      <w:footerReference w:type="default" r:id="R8d37d2985eac4168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76" w14:textId="0010037B">
    <w:pPr>
      <w:jc w:val="center"/>
    </w:pPr>
    <w:r>
      <w:rPr/>
      <w:t xml:space="preserve">Boutinly Enterprise CRM — Confidential  | 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509e17484654513" /><Relationship Type="http://schemas.openxmlformats.org/officeDocument/2006/relationships/styles" Target="/word/styles.xml" Id="R2e2297738926410e" /><Relationship Type="http://schemas.openxmlformats.org/officeDocument/2006/relationships/theme" Target="/word/theme/theme1.xml" Id="R60bf47ba0dad4331" /><Relationship Type="http://schemas.openxmlformats.org/officeDocument/2006/relationships/numbering" Target="/word/numbering.xml" Id="R7059dc927ea24cea" /><Relationship Type="http://schemas.openxmlformats.org/officeDocument/2006/relationships/image" Target="/media/image2.png" Id="R9d8a01855c144be6" /><Relationship Type="http://schemas.openxmlformats.org/officeDocument/2006/relationships/image" Target="/media/image3.png" Id="R84c479e6a0e04d4a" /><Relationship Type="http://schemas.openxmlformats.org/officeDocument/2006/relationships/image" Target="/media/image4.png" Id="R7f65e8c12bc24f6c" /><Relationship Type="http://schemas.openxmlformats.org/officeDocument/2006/relationships/image" Target="/media/image5.png" Id="R56e48e908a634b10" /><Relationship Type="http://schemas.openxmlformats.org/officeDocument/2006/relationships/image" Target="/media/image6.png" Id="R7f4cff44438c47fc" /><Relationship Type="http://schemas.openxmlformats.org/officeDocument/2006/relationships/image" Target="/media/image7.png" Id="R446608d7221f40d0" /><Relationship Type="http://schemas.openxmlformats.org/officeDocument/2006/relationships/image" Target="/media/image8.png" Id="R360fb05bd28843dc" /><Relationship Type="http://schemas.openxmlformats.org/officeDocument/2006/relationships/footer" Target="/word/footer1.xml" Id="R8d37d2985eac41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2026-08-01T21:22:20Z</dcterms:created>
  <cp:lastModifiedBy>OfficeCLI</cp:lastModifiedBy>
  <dcterms:modified xsi:type="dcterms:W3CDTF">2026-08-01T21:22:20Z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2026-08-01T21:33:46Z</vt:lpwstr>
  </op:property>
</op:Properties>
</file>