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4"/>
        <w:jc w:val="center"/>
      </w:pPr>
      <w:r>
        <w:drawing>
          <wp:inline distT="0" distB="0" distL="0" distR="0">
            <wp:extent cx="2381250" cy="1057275"/>
            <wp:effectExtent t="0" r="0" b="0" l="0"/>
            <wp:docPr id="1" name="DSN Logo" descr="Direct Sales Network Logo" title="DS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1057275"/>
                    </a:xfrm>
                    <a:prstGeom prst="rect">
                      <a:avLst/>
                    </a:prstGeom>
                  </pic:spPr>
                </pic:pic>
              </a:graphicData>
            </a:graphic>
          </wp:inline>
        </w:drawing>
      </w:r>
    </w:p>
    <w:p>
      <w:pPr>
        <w:spacing w:after="132"/>
        <w:jc w:val="center"/>
      </w:pPr>
      <w:r>
        <w:rPr>
          <w:b/>
          <w:bCs/>
          <w:sz w:val="32"/>
          <w:szCs w:val="32"/>
        </w:rPr>
        <w:t xml:space="preserve">SERVICE LEVEL AGREEMENT</w:t>
      </w:r>
    </w:p>
    <w:p>
      <w:pPr>
        <w:spacing w:after="396"/>
        <w:jc w:val="center"/>
      </w:pPr>
      <w:r>
        <w:rPr>
          <w:sz w:val="24"/>
          <w:szCs w:val="24"/>
        </w:rPr>
        <w:t xml:space="preserve">2026 Standard Service Agreement</w:t>
      </w:r>
    </w:p>
    <w:p>
      <w:pPr>
        <w:spacing w:after="264"/>
      </w:pPr>
      <w:r>
        <w:rPr>
          <w:b/>
          <w:bCs/>
        </w:rPr>
        <w:t xml:space="preserve">Date: </w:t>
      </w:r>
      <w:r>
        <w:t xml:space="preserve">___________________</w:t>
      </w:r>
    </w:p>
    <w:p>
      <w:pPr>
        <w:spacing w:after="132"/>
      </w:pPr>
      <w:r>
        <w:rPr>
          <w:b/>
          <w:bCs/>
        </w:rPr>
        <w:t xml:space="preserve">This Agreement is entered into by and between:</w:t>
      </w:r>
    </w:p>
    <w:p>
      <w:pPr>
        <w:spacing w:after="180"/>
      </w:pPr>
      <w:r>
        <w:rPr>
          <w:b/>
          <w:bCs/>
        </w:rPr>
        <w:t xml:space="preserve">PROVIDER: </w:t>
      </w:r>
      <w:r>
        <w:t xml:space="preserve">Direct Sales Network, LLC</w:t>
      </w:r>
    </w:p>
    <w:p>
      <w:pPr>
        <w:spacing w:after="264"/>
      </w:pPr>
      <w:r>
        <w:rPr>
          <w:b/>
          <w:bCs/>
        </w:rPr>
        <w:t xml:space="preserve">CLIENT: </w:t>
      </w:r>
      <w:r>
        <w:t xml:space="preserve">___________________________________________</w:t>
      </w:r>
    </w:p>
    <w:p>
      <w:pPr>
        <w:spacing w:after="132"/>
      </w:pPr>
      <w:r>
        <w:rPr>
          <w:b/>
          <w:bCs/>
        </w:rPr>
        <w:t xml:space="preserve">RECITALS</w:t>
      </w:r>
    </w:p>
    <w:p>
      <w:r>
        <w:t xml:space="preserve">Whereas, DSN is a digital marketing and lead generation agency specializing in providing qualified sales opportunities and leads to businesses across B2B and B2C sectors through proven marketing strategies and systems; and</w:t>
      </w:r>
    </w:p>
    <w:p>
      <w:pPr>
        <w:spacing w:after="396"/>
      </w:pPr>
      <w:r>
        <w:t xml:space="preserve">Whereas, Client desires to engage DSN for such services under the terms and conditions set forth herein.</w:t>
      </w:r>
    </w:p>
    <w:p>
      <w:pPr>
        <w:pStyle w:val="Heading1"/>
      </w:pPr>
      <w:r>
        <w:t xml:space="preserve">1. TERM AND EFFECTIVE DATE</w:t>
      </w:r>
    </w:p>
    <w:p>
      <w:pPr>
        <w:spacing w:after="396"/>
      </w:pPr>
      <w:r>
        <w:t xml:space="preserve">This Agreement shall become effective on the date signed by both parties ("Effective Date"). The Agreement shall continue on a month-to-month basis unless terminated by either party in accordance with the termination provisions herein. No long-term commitment is required beyond the monthly service period.</w:t>
      </w:r>
    </w:p>
    <w:p>
      <w:pPr>
        <w:pStyle w:val="Heading1"/>
      </w:pPr>
      <w:r>
        <w:t xml:space="preserve">2. SCOPE OF SERVICES: THE 3-ATTACK SYSTEM</w:t>
      </w:r>
    </w:p>
    <w:p>
      <w:pPr>
        <w:spacing w:after="264"/>
      </w:pPr>
      <w:r>
        <w:t xml:space="preserve">DSN agrees to provide Client with a comprehensive, multi-channel lead generation system designed to attack the target market from three simultaneous fronts. Services will be customized based on whether Client selects Commercial Services, Residential Services, or both.</w:t>
      </w:r>
    </w:p>
    <w:p>
      <w:pPr>
        <w:pStyle w:val="Heading2"/>
      </w:pPr>
      <w:r>
        <w:t xml:space="preserve">2.1 Commercial Services (3-Attack System)</w:t>
      </w:r>
    </w:p>
    <w:p>
      <w:pPr>
        <w:spacing w:after="132"/>
      </w:pPr>
      <w:r>
        <w:t xml:space="preserve">For commercial concrete coating opportunities, DSN will execute the following three-pronged approach:</w:t>
      </w:r>
    </w:p>
    <w:p>
      <w:pPr>
        <w:pStyle w:val="Heading3"/>
      </w:pPr>
      <w:r>
        <w:t xml:space="preserve">Attack #1: Hyper-Targeted ABM Ads</w:t>
      </w:r>
    </w:p>
    <w:p>
      <w:pPr>
        <w:pStyle w:val="ListParagraph"/>
        <w:numPr>
          <w:ilvl w:val="0"/>
          <w:numId w:val="2"/>
        </w:numPr>
      </w:pPr>
      <w:r>
        <w:t xml:space="preserve">Account-Based Marketing (ABM) approach targeting specific decision-makers at specific companies</w:t>
      </w:r>
    </w:p>
    <w:p>
      <w:pPr>
        <w:pStyle w:val="ListParagraph"/>
        <w:numPr>
          <w:ilvl w:val="0"/>
          <w:numId w:val="2"/>
        </w:numPr>
      </w:pPr>
      <w:r>
        <w:t xml:space="preserve">Direct lead generation through ad responses and contact forms</w:t>
      </w:r>
    </w:p>
    <w:p>
      <w:pPr>
        <w:pStyle w:val="ListParagraph"/>
        <w:numPr>
          <w:ilvl w:val="0"/>
          <w:numId w:val="2"/>
        </w:numPr>
      </w:pPr>
      <w:r>
        <w:t xml:space="preserve">Brand recognition building so outreach contacts already recognize Client</w:t>
      </w:r>
    </w:p>
    <w:p>
      <w:pPr>
        <w:pStyle w:val="ListParagraph"/>
        <w:numPr>
          <w:ilvl w:val="0"/>
          <w:numId w:val="2"/>
        </w:numPr>
      </w:pPr>
      <w:r>
        <w:t xml:space="preserve">Proof-based creative: project photos, process videos, completed work, credibility markers</w:t>
      </w:r>
    </w:p>
    <w:p>
      <w:pPr>
        <w:pStyle w:val="ListParagraph"/>
        <w:numPr>
          <w:ilvl w:val="0"/>
          <w:numId w:val="2"/>
        </w:numPr>
      </w:pPr>
      <w:r>
        <w:t xml:space="preserve">Retargeting campaigns to maintain presence with warm prospects</w:t>
      </w:r>
    </w:p>
    <w:p>
      <w:pPr>
        <w:spacing w:after="264"/>
      </w:pPr>
    </w:p>
    <w:p>
      <w:pPr>
        <w:pStyle w:val="Heading3"/>
      </w:pPr>
      <w:r>
        <w:t xml:space="preserve">Attack #2: Omnichannel Cold Outreach</w:t>
      </w:r>
    </w:p>
    <w:p>
      <w:pPr>
        <w:pStyle w:val="ListParagraph"/>
        <w:numPr>
          <w:ilvl w:val="0"/>
          <w:numId w:val="2"/>
        </w:numPr>
      </w:pPr>
      <w:r>
        <w:t xml:space="preserve">Data gathering via LinkedIn and Apollo to identify decision-makers (GCs, estimators, PMs, facility managers, business owners, etc.)</w:t>
      </w:r>
    </w:p>
    <w:p>
      <w:pPr>
        <w:pStyle w:val="ListParagraph"/>
        <w:numPr>
          <w:ilvl w:val="0"/>
          <w:numId w:val="2"/>
        </w:numPr>
      </w:pPr>
      <w:r>
        <w:t xml:space="preserve">Multi-touch outreach sequence: SMS → Email → Voicemail → Cold Calls</w:t>
      </w:r>
    </w:p>
    <w:p>
      <w:pPr>
        <w:pStyle w:val="ListParagraph"/>
        <w:numPr>
          <w:ilvl w:val="0"/>
          <w:numId w:val="2"/>
        </w:numPr>
      </w:pPr>
      <w:r>
        <w:t xml:space="preserve">Direct contact with decision-makers to get on bidder lists and vendor systems</w:t>
      </w:r>
    </w:p>
    <w:p>
      <w:pPr>
        <w:pStyle w:val="ListParagraph"/>
        <w:numPr>
          <w:ilvl w:val="0"/>
          <w:numId w:val="2"/>
        </w:numPr>
      </w:pPr>
      <w:r>
        <w:t xml:space="preserve">Discovery of active and upcoming projects (30-90 day pipeline)</w:t>
      </w:r>
    </w:p>
    <w:p>
      <w:pPr>
        <w:pStyle w:val="ListParagraph"/>
        <w:numPr>
          <w:ilvl w:val="0"/>
          <w:numId w:val="2"/>
        </w:numPr>
      </w:pPr>
      <w:r>
        <w:t xml:space="preserve">Meeting generation and bid opportunity creation</w:t>
      </w:r>
    </w:p>
    <w:p>
      <w:pPr>
        <w:spacing w:after="132"/>
      </w:pPr>
    </w:p>
    <w:p>
      <w:pPr>
        <w:spacing w:after="264"/>
      </w:pPr>
      <w:r>
        <w:rPr>
          <w:b/>
          <w:bCs/>
        </w:rPr>
        <w:t xml:space="preserve">Recommended Engagement Period: </w:t>
      </w:r>
      <w:r>
        <w:t xml:space="preserve">While results can be seen within 30 days, DSN recommends a 90-day engagement period for optimal performance and best results. Clients staying for the full 90-day period will see significantly better outcomes, though measurable results will begin appearing within the first 30 days.</w:t>
      </w:r>
    </w:p>
    <w:p>
      <w:pPr>
        <w:pStyle w:val="Heading3"/>
      </w:pPr>
      <w:r>
        <w:t xml:space="preserve">Attack #3: Bid Platform Monitoring &amp; Response</w:t>
      </w:r>
    </w:p>
    <w:p>
      <w:pPr>
        <w:pStyle w:val="ListParagraph"/>
        <w:numPr>
          <w:ilvl w:val="0"/>
          <w:numId w:val="2"/>
        </w:numPr>
      </w:pPr>
      <w:r>
        <w:t xml:space="preserve">Setup and optimization of Client profiles on platforms (BuildingConnected, PlanHub, etc.)</w:t>
      </w:r>
    </w:p>
    <w:p>
      <w:pPr>
        <w:pStyle w:val="ListParagraph"/>
        <w:numPr>
          <w:ilvl w:val="0"/>
          <w:numId w:val="2"/>
        </w:numPr>
      </w:pPr>
      <w:r>
        <w:t xml:space="preserve">Daily monitoring for relevant projects in Client's service area</w:t>
      </w:r>
    </w:p>
    <w:p>
      <w:pPr>
        <w:pStyle w:val="ListParagraph"/>
        <w:numPr>
          <w:ilvl w:val="0"/>
          <w:numId w:val="2"/>
        </w:numPr>
      </w:pPr>
      <w:r>
        <w:t xml:space="preserve">Immediate flagging and routing of opportunities to Client</w:t>
      </w:r>
    </w:p>
    <w:p>
      <w:pPr>
        <w:pStyle w:val="ListParagraph"/>
        <w:numPr>
          <w:ilvl w:val="0"/>
          <w:numId w:val="2"/>
        </w:numPr>
      </w:pPr>
      <w:r>
        <w:t xml:space="preserve">Response management and follow-up coordination</w:t>
      </w:r>
    </w:p>
    <w:p>
      <w:pPr>
        <w:spacing w:after="132"/>
      </w:pPr>
    </w:p>
    <w:p>
      <w:pPr>
        <w:spacing w:after="396"/>
      </w:pPr>
      <w:r>
        <w:rPr>
          <w:b/>
          <w:bCs/>
        </w:rPr>
        <w:t xml:space="preserve">Note: </w:t>
      </w:r>
      <w:r>
        <w:t xml:space="preserve">Bid platforms offer free tiers with basic access. Clients may optionally upgrade to premium tiers for access to additional opportunities. Premium tier costs vary by platform (typically $30-$300/month) and are paid directly by Client to the platform providers if desired.</w:t>
      </w:r>
    </w:p>
    <w:p>
      <w:pPr>
        <w:pStyle w:val="Heading2"/>
      </w:pPr>
      <w:r>
        <w:t xml:space="preserve">2.2 Residential Services (Optional Add-On)</w:t>
      </w:r>
    </w:p>
    <w:p>
      <w:pPr>
        <w:spacing w:after="132"/>
      </w:pPr>
      <w:r>
        <w:t xml:space="preserve">For clients who also want residential concrete coating leads, DSN will provide:</w:t>
      </w:r>
    </w:p>
    <w:p>
      <w:pPr>
        <w:pStyle w:val="ListParagraph"/>
        <w:numPr>
          <w:ilvl w:val="0"/>
          <w:numId w:val="2"/>
        </w:numPr>
      </w:pPr>
      <w:r>
        <w:t xml:space="preserve">Hyper-targeted social media advertising to homeowners</w:t>
      </w:r>
    </w:p>
    <w:p>
      <w:pPr>
        <w:pStyle w:val="ListParagraph"/>
        <w:numPr>
          <w:ilvl w:val="0"/>
          <w:numId w:val="2"/>
        </w:numPr>
      </w:pPr>
      <w:r>
        <w:t xml:space="preserve">Demographic, location, and interest-based targeting (not broad spray-and-pray)</w:t>
      </w:r>
    </w:p>
    <w:p>
      <w:pPr>
        <w:pStyle w:val="ListParagraph"/>
        <w:numPr>
          <w:ilvl w:val="0"/>
          <w:numId w:val="2"/>
        </w:numPr>
      </w:pPr>
      <w:r>
        <w:t xml:space="preserve">Quality-focused creative: before/after transformations, garage makeovers, patio coatings</w:t>
      </w:r>
    </w:p>
    <w:p>
      <w:pPr>
        <w:pStyle w:val="ListParagraph"/>
        <w:numPr>
          <w:ilvl w:val="0"/>
          <w:numId w:val="2"/>
        </w:numPr>
      </w:pPr>
      <w:r>
        <w:t xml:space="preserve">Exclusive lead delivery—leads go only to Client, not to multiple contractors</w:t>
      </w:r>
    </w:p>
    <w:p>
      <w:pPr>
        <w:pStyle w:val="ListParagraph"/>
        <w:numPr>
          <w:ilvl w:val="0"/>
          <w:numId w:val="2"/>
        </w:numPr>
      </w:pPr>
      <w:r>
        <w:t xml:space="preserve">Simple contact forms designed for high conversion rates</w:t>
      </w:r>
    </w:p>
    <w:p>
      <w:pPr>
        <w:spacing w:after="396"/>
      </w:pPr>
    </w:p>
    <w:p>
      <w:pPr>
        <w:pStyle w:val="Heading2"/>
      </w:pPr>
      <w:r>
        <w:t xml:space="preserve">2.3 Supporting Services (All Plans)</w:t>
      </w:r>
    </w:p>
    <w:p>
      <w:pPr>
        <w:pStyle w:val="ListParagraph"/>
        <w:numPr>
          <w:ilvl w:val="0"/>
          <w:numId w:val="2"/>
        </w:numPr>
      </w:pPr>
      <w:r>
        <w:t xml:space="preserve">CRM Access: Available upon request for pipeline tracking and lead management</w:t>
      </w:r>
    </w:p>
    <w:p>
      <w:pPr>
        <w:pStyle w:val="ListParagraph"/>
        <w:numPr>
          <w:ilvl w:val="0"/>
          <w:numId w:val="2"/>
        </w:numPr>
      </w:pPr>
      <w:r>
        <w:t xml:space="preserve">Monthly performance reporting and analysis</w:t>
      </w:r>
    </w:p>
    <w:p>
      <w:pPr>
        <w:pStyle w:val="ListParagraph"/>
        <w:numPr>
          <w:ilvl w:val="0"/>
          <w:numId w:val="2"/>
        </w:numPr>
      </w:pPr>
      <w:r>
        <w:t xml:space="preserve">Weekly or bi-weekly check-in calls to review progress and strategy</w:t>
      </w:r>
    </w:p>
    <w:p>
      <w:pPr>
        <w:pStyle w:val="ListParagraph"/>
        <w:numPr>
          <w:ilvl w:val="0"/>
          <w:numId w:val="2"/>
        </w:numPr>
      </w:pPr>
      <w:r>
        <w:t xml:space="preserve">On-demand reporting: Client can request performance updates at any time via phone</w:t>
      </w:r>
    </w:p>
    <w:p>
      <w:pPr>
        <w:pStyle w:val="ListParagraph"/>
        <w:numPr>
          <w:ilvl w:val="0"/>
          <w:numId w:val="2"/>
        </w:numPr>
      </w:pPr>
      <w:r>
        <w:t xml:space="preserve">Sales assets: Custom landing pages optimized for conversion</w:t>
      </w:r>
    </w:p>
    <w:p>
      <w:pPr>
        <w:spacing w:after="264"/>
      </w:pPr>
    </w:p>
    <w:p>
      <w:pPr>
        <w:pStyle w:val="Heading2"/>
      </w:pPr>
      <w:r>
        <w:t xml:space="preserve">TERRITORY PROTECTION</w:t>
      </w:r>
    </w:p>
    <w:p>
      <w:pPr>
        <w:spacing w:after="396"/>
      </w:pPr>
      <w:r>
        <w:t xml:space="preserve">DSN agrees not to service direct competitors within the Client's designated primary service area during the term of this Agreement. This ensures Client maintains a competitive advantage in their local market without DSN supporting competing contractors in the same territory.</w:t>
      </w:r>
    </w:p>
    <w:p>
      <w:pPr>
        <w:pStyle w:val="Heading1"/>
      </w:pPr>
      <w:r>
        <w:t xml:space="preserve">3. FEES AND PAYMENT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Fee Type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Amount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Service Fee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 per month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Budget (Ad Spend)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$1,500.00 per month (paid directly by Client to platforms)</w:t>
            </w:r>
          </w:p>
        </w:tc>
      </w:tr>
    </w:tbl>
    <w:p>
      <w:pPr>
        <w:spacing w:after="264"/>
      </w:pPr>
    </w:p>
    <w:p>
      <w:r>
        <w:rPr>
          <w:b/>
          <w:bCs/>
        </w:rPr>
        <w:t xml:space="preserve">Billing Cycle: </w:t>
      </w:r>
      <w:r>
        <w:t xml:space="preserve">Service fees will be billed monthly on the same day of each month corresponding to the Effective Date.</w:t>
      </w:r>
    </w:p>
    <w:p>
      <w:pPr>
        <w:spacing w:after="396"/>
      </w:pPr>
      <w:r>
        <w:rPr>
          <w:b/>
          <w:bCs/>
        </w:rPr>
        <w:t xml:space="preserve">Payment Method: </w:t>
      </w:r>
      <w:r>
        <w:t xml:space="preserve">Client authorizes DSN to charge the designated Credit Card or ACH account for all fees due under this Agreement. DSN accepts all major credit cards except American Express due to payment processor limitations.</w:t>
      </w:r>
    </w:p>
    <w:p>
      <w:pPr>
        <w:pStyle w:val="Heading1"/>
      </w:pPr>
      <w:r>
        <w:t xml:space="preserve">4. PERFORMANCE TARGETS &amp; DELIVERABLES</w:t>
      </w:r>
    </w:p>
    <w:p>
      <w:pPr>
        <w:spacing w:after="264"/>
      </w:pPr>
      <w:r>
        <w:t xml:space="preserve">DSN is committed to delivering measurable results. The following targets apply based on the selected service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 Expected Range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Commercial Opportunities (Monthly)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 to ________] opportunities per month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Residential Leads (Monthly, if applicable)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 to ________] leads per month</w:t>
            </w:r>
          </w:p>
        </w:tc>
      </w:tr>
    </w:tbl>
    <w:p>
      <w:pPr>
        <w:spacing w:after="264"/>
      </w:pPr>
    </w:p>
    <w:p>
      <w:pPr>
        <w:spacing w:after="396"/>
      </w:pPr>
      <w:r>
        <w:rPr>
          <w:b/>
          <w:bCs/>
        </w:rPr>
        <w:t xml:space="preserve">Note: </w:t>
      </w:r>
      <w:r>
        <w:t xml:space="preserve">Commercial opportunities include bid invitations, bidder list additions, direct project inquiries, and qualified prospect meetings. Performance targets are subject to customization based on Client's service area, market conditions, and selected service package. Specific targets will be established during onboarding and documented in monthly reports.</w:t>
      </w:r>
    </w:p>
    <w:p>
      <w:pPr>
        <w:pStyle w:val="Heading1"/>
      </w:pPr>
      <w:r>
        <w:t xml:space="preserve">5. CLIENT RESPONSIBILITIES</w:t>
      </w:r>
    </w:p>
    <w:p>
      <w:pPr>
        <w:spacing w:after="132"/>
      </w:pPr>
      <w:r>
        <w:t xml:space="preserve">To ensure campaign success and optimal results, Client agrees to:</w:t>
      </w:r>
    </w:p>
    <w:p>
      <w:pPr>
        <w:pStyle w:val="ListParagraph"/>
        <w:numPr>
          <w:ilvl w:val="0"/>
          <w:numId w:val="3"/>
        </w:numPr>
      </w:pPr>
      <w:r>
        <w:t xml:space="preserve">Respond to all generated opportunities promptly (recommended within 1-2 hours during business hours)</w:t>
      </w:r>
    </w:p>
    <w:p>
      <w:pPr>
        <w:pStyle w:val="ListParagraph"/>
        <w:numPr>
          <w:ilvl w:val="0"/>
          <w:numId w:val="3"/>
        </w:numPr>
      </w:pPr>
      <w:r>
        <w:t xml:space="preserve">Update lead status and progress through provided communication channels</w:t>
      </w:r>
    </w:p>
    <w:p>
      <w:pPr>
        <w:pStyle w:val="ListParagraph"/>
        <w:numPr>
          <w:ilvl w:val="0"/>
          <w:numId w:val="3"/>
        </w:numPr>
      </w:pPr>
      <w:r>
        <w:t xml:space="preserve">Provide necessary business information, logos, photos (5-10 project photos), and case studies (2-3 examples)</w:t>
      </w:r>
    </w:p>
    <w:p>
      <w:pPr>
        <w:pStyle w:val="ListParagraph"/>
        <w:numPr>
          <w:ilvl w:val="0"/>
          <w:numId w:val="3"/>
        </w:numPr>
      </w:pPr>
      <w:r>
        <w:t xml:space="preserve">Provide insurance/certifications and service area details</w:t>
      </w:r>
    </w:p>
    <w:p>
      <w:pPr>
        <w:pStyle w:val="ListParagraph"/>
        <w:numPr>
          <w:ilvl w:val="0"/>
          <w:numId w:val="3"/>
        </w:numPr>
      </w:pPr>
      <w:r>
        <w:t xml:space="preserve">Maintain professional communication with all leads and opportunities</w:t>
      </w:r>
    </w:p>
    <w:p>
      <w:pPr>
        <w:pStyle w:val="ListParagraph"/>
        <w:numPr>
          <w:ilvl w:val="0"/>
          <w:numId w:val="3"/>
        </w:numPr>
      </w:pPr>
      <w:r>
        <w:t xml:space="preserve">Provide timely pricing/estimating for bid opportunities</w:t>
      </w:r>
    </w:p>
    <w:p>
      <w:pPr>
        <w:pStyle w:val="ListParagraph"/>
        <w:numPr>
          <w:ilvl w:val="0"/>
          <w:numId w:val="3"/>
        </w:numPr>
      </w:pPr>
      <w:r>
        <w:t xml:space="preserve">Participate in weekly or bi-weekly check-in calls</w:t>
      </w:r>
    </w:p>
    <w:p>
      <w:pPr>
        <w:pStyle w:val="ListParagraph"/>
        <w:numPr>
          <w:ilvl w:val="0"/>
          <w:numId w:val="3"/>
        </w:numPr>
      </w:pPr>
      <w:r>
        <w:t xml:space="preserve">Approve recommended ad spend adjustments or creative changes when appropriate</w:t>
      </w:r>
    </w:p>
    <w:p>
      <w:pPr>
        <w:spacing w:after="396"/>
      </w:pPr>
    </w:p>
    <w:p>
      <w:pPr>
        <w:pStyle w:val="Heading1"/>
      </w:pPr>
      <w:r>
        <w:t xml:space="preserve">6. DELIVERABLES AND REPORTING</w:t>
      </w:r>
    </w:p>
    <w:p>
      <w:pPr>
        <w:spacing w:after="132"/>
      </w:pPr>
      <w:r>
        <w:rPr>
          <w:b/>
          <w:bCs/>
        </w:rPr>
        <w:t xml:space="preserve">DSN will provide transparency into campaign performance through:</w:t>
      </w:r>
    </w:p>
    <w:p>
      <w:pPr>
        <w:pStyle w:val="ListParagraph"/>
        <w:numPr>
          <w:ilvl w:val="0"/>
          <w:numId w:val="2"/>
        </w:numPr>
      </w:pPr>
      <w:r>
        <w:rPr>
          <w:b/>
          <w:bCs/>
        </w:rPr>
        <w:t xml:space="preserve">Monthly Performance Reports: </w:t>
      </w:r>
      <w:r>
        <w:t xml:space="preserve">Comprehensive monthly reports documenting all activities and results</w:t>
      </w:r>
    </w:p>
    <w:p>
      <w:pPr>
        <w:pStyle w:val="ListParagraph"/>
        <w:numPr>
          <w:ilvl w:val="0"/>
          <w:numId w:val="2"/>
        </w:numPr>
      </w:pPr>
      <w:r>
        <w:rPr>
          <w:b/>
          <w:bCs/>
        </w:rPr>
        <w:t xml:space="preserve">Regular Check-In Calls: </w:t>
      </w:r>
      <w:r>
        <w:t xml:space="preserve">Weekly or bi-weekly performance review sessions conducted via phone or Zoom</w:t>
      </w:r>
    </w:p>
    <w:p>
      <w:pPr>
        <w:pStyle w:val="ListParagraph"/>
        <w:numPr>
          <w:ilvl w:val="0"/>
          <w:numId w:val="2"/>
        </w:numPr>
      </w:pPr>
      <w:r>
        <w:rPr>
          <w:b/>
          <w:bCs/>
        </w:rPr>
        <w:t xml:space="preserve">On-Demand Reporting: </w:t>
      </w:r>
      <w:r>
        <w:t xml:space="preserve">Client can request performance updates at any time by phone—DSN will provide immediate updates or follow up with detailed reports</w:t>
      </w:r>
    </w:p>
    <w:p>
      <w:pPr>
        <w:pStyle w:val="ListParagraph"/>
        <w:numPr>
          <w:ilvl w:val="0"/>
          <w:numId w:val="2"/>
        </w:numPr>
      </w:pPr>
      <w:r>
        <w:rPr>
          <w:b/>
          <w:bCs/>
        </w:rPr>
        <w:t xml:space="preserve">Key Metrics: </w:t>
      </w:r>
      <w:r>
        <w:t xml:space="preserve">Reporting includes opportunities generated, outreach activity, bid invites, conversations started, ad performance, and conversion data</w:t>
      </w:r>
    </w:p>
    <w:p>
      <w:pPr>
        <w:pStyle w:val="ListParagraph"/>
        <w:numPr>
          <w:ilvl w:val="0"/>
          <w:numId w:val="2"/>
        </w:numPr>
      </w:pPr>
      <w:r>
        <w:rPr>
          <w:b/>
          <w:bCs/>
        </w:rPr>
        <w:t xml:space="preserve">CRM Access (Optional): </w:t>
      </w:r>
      <w:r>
        <w:t xml:space="preserve">Available upon request for real-time pipeline visibility</w:t>
      </w:r>
    </w:p>
    <w:p>
      <w:pPr>
        <w:spacing w:after="396"/>
      </w:pPr>
    </w:p>
    <w:p>
      <w:pPr>
        <w:pStyle w:val="Heading1"/>
      </w:pPr>
      <w:r>
        <w:t xml:space="preserve">7. CONFIDENTIALITY AND DATA SECURITY</w:t>
      </w:r>
    </w:p>
    <w:p>
      <w:pPr>
        <w:spacing w:after="396"/>
      </w:pPr>
      <w:r>
        <w:t xml:space="preserve">Both parties agree to keep confidential all proprietary information shared during the term of this Agreement, including business strategies, client data, and advertising methods. DSN employs strict security measures to protect Client data. Credit card information is stored securely via compliant third-party processors and used solely for billing service fees and setting up third-party advertising platforms.</w:t>
      </w:r>
    </w:p>
    <w:p>
      <w:pPr>
        <w:pStyle w:val="Heading1"/>
      </w:pPr>
      <w:r>
        <w:t xml:space="preserve">8. INTELLECTUAL PROPERTY</w:t>
      </w:r>
    </w:p>
    <w:p>
      <w:pPr>
        <w:spacing w:after="396"/>
      </w:pPr>
      <w:r>
        <w:t xml:space="preserve">All creative assets, ad copy, campaign structures, and marketing strategies developed by DSN remain the intellectual property of DSN. Client retains full ownership of their pre-existing brand assets, business information, and customer lists. Upon termination, Client retains access to all lead data generated during the active service period.</w:t>
      </w:r>
    </w:p>
    <w:p>
      <w:pPr>
        <w:pStyle w:val="Heading1"/>
      </w:pPr>
      <w:r>
        <w:t xml:space="preserve">9. LIMITATIONS AND DISCLAIMERS</w:t>
      </w:r>
    </w:p>
    <w:p>
      <w:pPr>
        <w:spacing w:after="396"/>
      </w:pPr>
      <w:r>
        <w:t xml:space="preserve">While DSN guarantees the execution of the 3-Attack System as outlined in Section 2, DSN cannot and does not guarantee specific closed sales revenue, as this depends on factors outside DSN's control, including Client's sales execution, pricing, market competition, and follow-up responsiveness. Ad platform performance may vary based on seasonal market conditions and platform algorithm changes. DSN's performance targets represent expected ranges based on industry benchmarks and historical data, not guaranteed minimums.</w:t>
      </w:r>
    </w:p>
    <w:p>
      <w:pPr>
        <w:pStyle w:val="Heading1"/>
      </w:pPr>
      <w:r>
        <w:t xml:space="preserve">10. TERMINATION</w:t>
      </w:r>
    </w:p>
    <w:p>
      <w:pPr>
        <w:spacing w:after="132"/>
      </w:pPr>
      <w:r>
        <w:rPr>
          <w:b/>
          <w:bCs/>
        </w:rPr>
        <w:t xml:space="preserve">Termination for Convenience: </w:t>
      </w:r>
      <w:r>
        <w:t xml:space="preserve">Either party may terminate this Agreement at any time with seven (7) days' written notice prior to the next billing cycle.</w:t>
      </w:r>
    </w:p>
    <w:p>
      <w:pPr>
        <w:spacing w:after="132"/>
      </w:pPr>
      <w:r>
        <w:rPr>
          <w:b/>
          <w:bCs/>
        </w:rPr>
        <w:t xml:space="preserve">Termination for Cause: </w:t>
      </w:r>
      <w:r>
        <w:t xml:space="preserve">This Agreement may be terminated immediately for material breach, including non-payment or lack of cooperation from either party.</w:t>
      </w:r>
    </w:p>
    <w:p>
      <w:pPr>
        <w:spacing w:after="396"/>
      </w:pPr>
      <w:r>
        <w:rPr>
          <w:b/>
          <w:bCs/>
        </w:rPr>
        <w:t xml:space="preserve">Effect of Termination: </w:t>
      </w:r>
      <w:r>
        <w:t xml:space="preserve">Upon termination, Client retains access to all lead data generated during the active service period. All future billing will cease after the notice period. Client will retain access to CRM (if granted) for 30 days post-termination to export data.</w:t>
      </w:r>
    </w:p>
    <w:p>
      <w:pPr>
        <w:pStyle w:val="Heading1"/>
      </w:pPr>
      <w:r>
        <w:t xml:space="preserve">11. MODIFICATIONS</w:t>
      </w:r>
    </w:p>
    <w:p>
      <w:pPr>
        <w:spacing w:after="396"/>
      </w:pPr>
      <w:r>
        <w:t xml:space="preserve">Any modifications to this Agreement must be in writing and signed by both parties. DSN reserves the right to adjust pricing with thirty (30) days' prior written notice to Client.</w:t>
      </w:r>
    </w:p>
    <w:p>
      <w:pPr>
        <w:pStyle w:val="Heading1"/>
      </w:pPr>
      <w:r>
        <w:t xml:space="preserve">12. GOVERNING LAW AND DISPUTE RESOLUTION</w:t>
      </w:r>
    </w:p>
    <w:p>
      <w:pPr>
        <w:spacing w:after="396"/>
      </w:pPr>
      <w:r>
        <w:t xml:space="preserve">This Agreement shall be governed by and construed in accordance with the laws of the State of Florida. In the event of any dispute arising out of or relating to this Agreement, the parties agree to first attempt to resolve the matter through good-faith negotiation. If unresolved, the parties agree to submit to mediation in Florida before pursuing litigation. The exclusive venue for any legal action shall be the state or federal courts located in Florida.</w:t>
      </w:r>
    </w:p>
    <w:p>
      <w:pPr>
        <w:pStyle w:val="Heading1"/>
      </w:pPr>
      <w:r>
        <w:t xml:space="preserve">13. ENTIRE AGREEMENT</w:t>
      </w:r>
    </w:p>
    <w:p>
      <w:pPr>
        <w:spacing w:after="396"/>
      </w:pPr>
      <w:r>
        <w:t xml:space="preserve">This Agreement constitutes the entire agreement between the parties and supersedes all prior agreements, understandings, and representations, whether oral or written, regarding the subject matter hereof.</w:t>
      </w:r>
    </w:p>
    <w:p>
      <w:pPr>
        <w:spacing w:after="264"/>
      </w:pPr>
      <w:r>
        <w:rPr>
          <w:b/>
          <w:bCs/>
          <w:sz w:val="24"/>
          <w:szCs w:val="24"/>
        </w:rPr>
        <w:t xml:space="preserve">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CLIENT</w:t>
            </w:r>
          </w:p>
          <w:p>
            <w:r>
              <w:t xml:space="preserve"> </w:t>
            </w:r>
          </w:p>
          <w:p>
            <w:r>
              <w:t xml:space="preserve">Company:</w:t>
            </w:r>
          </w:p>
          <w:p>
            <w:r>
              <w:t xml:space="preserve">_________________________________</w:t>
            </w:r>
          </w:p>
          <w:p>
            <w:r>
              <w:t xml:space="preserve"> </w:t>
            </w:r>
          </w:p>
          <w:p>
            <w:r>
              <w:t xml:space="preserve">Name:</w:t>
            </w:r>
          </w:p>
          <w:p>
            <w:r>
              <w:t xml:space="preserve">_____________________________________</w:t>
            </w:r>
          </w:p>
          <w:p>
            <w:r>
              <w:t xml:space="preserve"> </w:t>
            </w:r>
          </w:p>
          <w:p>
            <w:r>
              <w:t xml:space="preserve">Title:</w:t>
            </w:r>
          </w:p>
          <w:p>
            <w:r>
              <w:t xml:space="preserve">_____________________________________</w:t>
            </w:r>
          </w:p>
          <w:p>
            <w:r>
              <w:t xml:space="preserve"> </w:t>
            </w:r>
          </w:p>
          <w:p>
            <w:r>
              <w:t xml:space="preserve">Date:</w:t>
            </w:r>
          </w:p>
          <w:p>
            <w:r>
              <w:t xml:space="preserve">_____________________________________</w:t>
            </w:r>
          </w:p>
          <w:p>
            <w:r>
              <w:t xml:space="preserve"> </w:t>
            </w:r>
          </w:p>
          <w:p>
            <w:r>
              <w:t xml:space="preserve">Signature:</w:t>
            </w:r>
          </w:p>
          <w:p>
            <w:r>
              <w:t xml:space="preserve">_________________________________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PROVIDER: Direct Sales Network, LLC</w:t>
            </w:r>
          </w:p>
          <w:p>
            <w:r>
              <w:t xml:space="preserve"> </w:t>
            </w:r>
          </w:p>
          <w:p>
            <w:r>
              <w:t xml:space="preserve">Name: Andrew Armstrong</w:t>
            </w:r>
          </w:p>
          <w:p>
            <w:r>
              <w:t xml:space="preserve"> </w:t>
            </w:r>
          </w:p>
          <w:p>
            <w:r>
              <w:t xml:space="preserve">Title: Director</w:t>
            </w:r>
          </w:p>
          <w:p>
            <w:r>
              <w:t xml:space="preserve"> </w:t>
            </w:r>
          </w:p>
          <w:p>
            <w:r>
              <w:t xml:space="preserve">Date: _____________________________________</w:t>
            </w:r>
          </w:p>
          <w:p>
            <w:r>
              <w:t xml:space="preserve"> </w:t>
            </w:r>
          </w:p>
          <w:p>
            <w:r>
              <w:t xml:space="preserve">Signature:</w:t>
            </w:r>
          </w:p>
          <w:p>
            <w:r>
              <w:drawing>
                <wp:inline distT="0" distB="0" distL="0" distR="0">
                  <wp:extent cx="1371600" cy="1371600"/>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
                          <pic:cNvPicPr/>
                        </pic:nvPicPr>
                        <pic:blipFill>
                          <a:blip r:embed="rId9"/>
                          <a:stretch>
                            <a:fillRect/>
                          </a:stretch>
                        </pic:blipFill>
                        <pic:spPr>
                          <a:xfrm>
                            <a:off x="0" y="0"/>
                            <a:ext cx="1371600" cy="1371600"/>
                          </a:xfrm>
                          <a:prstGeom prst="rect">
                            <a:avLst/>
                          </a:prstGeom>
                        </pic:spPr>
                      </pic:pic>
                    </a:graphicData>
                  </a:graphic>
                </wp:inline>
              </w:drawing>
            </w:r>
          </w:p>
        </w:tc>
      </w:tr>
    </w:tbl>
    <w:p>
      <w:pPr>
        <w:spacing w:before="960" w:after="264"/>
        <w:jc w:val="center"/>
      </w:pPr>
      <w:r>
        <w:rPr>
          <w:b/>
          <w:bCs/>
          <w:sz w:val="18"/>
          <w:szCs w:val="18"/>
        </w:rPr>
        <w:t xml:space="preserve">Direct Sales Network, LLC</w:t>
      </w:r>
    </w:p>
    <w:p>
      <w:pPr>
        <w:spacing w:after="132"/>
        <w:jc w:val="center"/>
      </w:pPr>
      <w:r>
        <w:rPr>
          <w:sz w:val="16"/>
          <w:szCs w:val="16"/>
        </w:rPr>
        <w:t xml:space="preserve">3405 S. Timberline Rd., Fort Collins, CO 80525 | Palm Beach International, West Palm Beach, FL 33401</w:t>
      </w:r>
    </w:p>
    <w:p>
      <w:pPr>
        <w:jc w:val="center"/>
      </w:pPr>
      <w:r>
        <w:rPr>
          <w:i/>
          <w:iCs/>
          <w:sz w:val="16"/>
          <w:szCs w:val="16"/>
        </w:rPr>
        <w:t xml:space="preserve">Confidential - Service Level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sz w:val="18"/>
        <w:szCs w:val="18"/>
      </w:rPr>
      <w:t xml:space="preserve">Direct Sales Network, LLC</w:t>
    </w:r>
  </w:p>
  <w:p>
    <w:pPr>
      <w:spacing w:after="120"/>
      <w:jc w:val="center"/>
    </w:pPr>
    <w:r>
      <w:rPr>
        <w:sz w:val="16"/>
        <w:szCs w:val="16"/>
      </w:rPr>
      <w:t xml:space="preserve">3405 S. Timberline Rd., Fort Collins, CO 80525 | Palm Beach International, West Palm Beach, FL 33401</w:t>
    </w:r>
  </w:p>
  <w:p>
    <w:pPr>
      <w:jc w:val="center"/>
    </w:pPr>
    <w:r>
      <w:rPr>
        <w:i/>
        <w:iCs/>
        <w:sz w:val="16"/>
        <w:szCs w:val="16"/>
      </w:rPr>
      <w:t xml:space="preserve">Confidential - Service Level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24"/>
      <w:szCs w:val="24"/>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55420919be8838694c9978e58a32412c777ccd18.png"/><Relationship Id="rId8" Type="http://schemas.openxmlformats.org/officeDocument/2006/relationships/fontTable" Target="fontTable.xml"/><Relationship Id="rId9" Type="http://schemas.openxmlformats.org/officeDocument/2006/relationships/image" Target="media/signature.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2026-01-27T19:56:58.203Z</dcterms:created>
  <dcterms:modified xsi:type="dcterms:W3CDTF">2026-01-27T19:56:58.204Z</dcterms:modified>
</cp:coreProperties>
</file>

<file path=docProps/custom.xml><?xml version="1.0" encoding="utf-8"?>
<Properties xmlns="http://schemas.openxmlformats.org/officeDocument/2006/custom-properties" xmlns:vt="http://schemas.openxmlformats.org/officeDocument/2006/docPropsVTypes"/>
</file>