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B9D3" w14:textId="77777777" w:rsidR="00E5030D" w:rsidRDefault="00E5030D" w:rsidP="00E5030D">
      <w:r>
        <w:rPr>
          <w:noProof/>
        </w:rPr>
        <w:drawing>
          <wp:inline distT="0" distB="0" distL="0" distR="0" wp14:anchorId="01461361" wp14:editId="786233BF">
            <wp:extent cx="1672952" cy="1672952"/>
            <wp:effectExtent l="0" t="0" r="0" b="0"/>
            <wp:docPr id="121766146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1672952" cy="1672952"/>
                    </a:xfrm>
                    <a:prstGeom prst="rect">
                      <a:avLst/>
                    </a:prstGeom>
                    <a:ln/>
                  </pic:spPr>
                </pic:pic>
              </a:graphicData>
            </a:graphic>
          </wp:inline>
        </w:drawing>
      </w:r>
      <w:r>
        <w:rPr>
          <w:noProof/>
        </w:rPr>
        <w:drawing>
          <wp:anchor distT="0" distB="0" distL="114300" distR="114300" simplePos="0" relativeHeight="251659264" behindDoc="0" locked="0" layoutInCell="1" hidden="0" allowOverlap="1" wp14:anchorId="6A68197A" wp14:editId="36A642B3">
            <wp:simplePos x="0" y="0"/>
            <wp:positionH relativeFrom="column">
              <wp:posOffset>2809875</wp:posOffset>
            </wp:positionH>
            <wp:positionV relativeFrom="paragraph">
              <wp:posOffset>447675</wp:posOffset>
            </wp:positionV>
            <wp:extent cx="2757170" cy="709930"/>
            <wp:effectExtent l="0" t="0" r="0" b="0"/>
            <wp:wrapSquare wrapText="bothSides" distT="0" distB="0" distL="114300" distR="114300"/>
            <wp:docPr id="1217661466" name="image2.jpg" descr="Text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  El contenido generado por IA puede ser incorrecto."/>
                    <pic:cNvPicPr preferRelativeResize="0"/>
                  </pic:nvPicPr>
                  <pic:blipFill>
                    <a:blip r:embed="rId8"/>
                    <a:srcRect/>
                    <a:stretch>
                      <a:fillRect/>
                    </a:stretch>
                  </pic:blipFill>
                  <pic:spPr>
                    <a:xfrm>
                      <a:off x="0" y="0"/>
                      <a:ext cx="2757170" cy="709930"/>
                    </a:xfrm>
                    <a:prstGeom prst="rect">
                      <a:avLst/>
                    </a:prstGeom>
                    <a:ln/>
                  </pic:spPr>
                </pic:pic>
              </a:graphicData>
            </a:graphic>
          </wp:anchor>
        </w:drawing>
      </w:r>
    </w:p>
    <w:p w14:paraId="4F8FC88A" w14:textId="77777777" w:rsidR="00E5030D" w:rsidRDefault="00E5030D" w:rsidP="00E5030D"/>
    <w:p w14:paraId="5A0D3DC2" w14:textId="77777777" w:rsidR="00E5030D" w:rsidRDefault="00E5030D" w:rsidP="00E5030D"/>
    <w:p w14:paraId="49071D55" w14:textId="77777777" w:rsidR="00E5030D" w:rsidRDefault="00E5030D" w:rsidP="00E5030D"/>
    <w:p w14:paraId="30FD2843" w14:textId="77777777" w:rsidR="00E5030D" w:rsidRDefault="00E5030D" w:rsidP="00E5030D"/>
    <w:p w14:paraId="7AFE58C5" w14:textId="77777777" w:rsidR="00E5030D" w:rsidRDefault="00E5030D" w:rsidP="00E5030D"/>
    <w:p w14:paraId="0AA073E2" w14:textId="77777777" w:rsidR="00E5030D" w:rsidRDefault="00E5030D" w:rsidP="00E5030D"/>
    <w:p w14:paraId="488A5162" w14:textId="29123320" w:rsidR="00E5030D" w:rsidRDefault="00E5030D" w:rsidP="00E5030D">
      <w:pPr>
        <w:jc w:val="center"/>
        <w:rPr>
          <w:b/>
          <w:color w:val="FF860D"/>
          <w:sz w:val="72"/>
          <w:szCs w:val="72"/>
        </w:rPr>
      </w:pPr>
      <w:r>
        <w:rPr>
          <w:b/>
          <w:color w:val="FF860D"/>
          <w:sz w:val="72"/>
          <w:szCs w:val="72"/>
        </w:rPr>
        <w:t>[Inteligencia urbana en tiempo real con datos abiertos]</w:t>
      </w:r>
    </w:p>
    <w:p w14:paraId="7D6103D9" w14:textId="77777777" w:rsidR="00E5030D" w:rsidRDefault="00E5030D" w:rsidP="00E5030D">
      <w:pPr>
        <w:jc w:val="center"/>
        <w:rPr>
          <w:b/>
          <w:color w:val="808080"/>
          <w:sz w:val="20"/>
          <w:szCs w:val="20"/>
        </w:rPr>
      </w:pPr>
      <w:r>
        <w:rPr>
          <w:b/>
          <w:color w:val="808080"/>
          <w:sz w:val="20"/>
          <w:szCs w:val="20"/>
        </w:rPr>
        <w:t>Trabajo Fin de Máster</w:t>
      </w:r>
    </w:p>
    <w:p w14:paraId="0DDDA794" w14:textId="77777777" w:rsidR="00E5030D" w:rsidRDefault="00E5030D" w:rsidP="00E5030D">
      <w:pPr>
        <w:jc w:val="center"/>
        <w:rPr>
          <w:b/>
          <w:color w:val="808080"/>
          <w:sz w:val="20"/>
          <w:szCs w:val="20"/>
        </w:rPr>
      </w:pPr>
      <w:r>
        <w:rPr>
          <w:b/>
          <w:color w:val="808080"/>
          <w:sz w:val="20"/>
          <w:szCs w:val="20"/>
        </w:rPr>
        <w:t xml:space="preserve">Máster en Big Data &amp; Data </w:t>
      </w:r>
      <w:proofErr w:type="spellStart"/>
      <w:r>
        <w:rPr>
          <w:b/>
          <w:color w:val="808080"/>
          <w:sz w:val="20"/>
          <w:szCs w:val="20"/>
        </w:rPr>
        <w:t>Engineering</w:t>
      </w:r>
      <w:proofErr w:type="spellEnd"/>
    </w:p>
    <w:p w14:paraId="0B72831B" w14:textId="77777777" w:rsidR="00E5030D" w:rsidRDefault="00E5030D" w:rsidP="00E5030D"/>
    <w:p w14:paraId="431C47F9" w14:textId="77777777" w:rsidR="00E5030D" w:rsidRDefault="00E5030D" w:rsidP="00E5030D"/>
    <w:p w14:paraId="2F01F8E5" w14:textId="77777777" w:rsidR="00E5030D" w:rsidRDefault="00E5030D" w:rsidP="00E5030D"/>
    <w:p w14:paraId="79B63012" w14:textId="77777777" w:rsidR="00E5030D" w:rsidRDefault="00E5030D" w:rsidP="00E5030D">
      <w:pPr>
        <w:tabs>
          <w:tab w:val="left" w:pos="5836"/>
        </w:tabs>
      </w:pPr>
    </w:p>
    <w:p w14:paraId="5D5F1C4C" w14:textId="77777777" w:rsidR="00E5030D" w:rsidRDefault="00E5030D" w:rsidP="00E5030D">
      <w:pPr>
        <w:tabs>
          <w:tab w:val="left" w:pos="5836"/>
        </w:tabs>
      </w:pPr>
    </w:p>
    <w:p w14:paraId="24CD6FE5" w14:textId="77777777" w:rsidR="00E5030D" w:rsidRDefault="00E5030D" w:rsidP="00E5030D">
      <w:pPr>
        <w:tabs>
          <w:tab w:val="left" w:pos="5836"/>
        </w:tabs>
        <w:jc w:val="right"/>
      </w:pPr>
    </w:p>
    <w:p w14:paraId="784A6753" w14:textId="77777777" w:rsidR="00E5030D" w:rsidRDefault="00E5030D" w:rsidP="00E5030D">
      <w:pPr>
        <w:tabs>
          <w:tab w:val="left" w:pos="5836"/>
        </w:tabs>
        <w:jc w:val="right"/>
      </w:pPr>
    </w:p>
    <w:p w14:paraId="596AD1C3" w14:textId="77777777" w:rsidR="00E5030D" w:rsidRDefault="00E5030D" w:rsidP="00E5030D">
      <w:pPr>
        <w:tabs>
          <w:tab w:val="left" w:pos="5836"/>
        </w:tabs>
      </w:pPr>
    </w:p>
    <w:p w14:paraId="71FE145B" w14:textId="77777777" w:rsidR="00E5030D" w:rsidRDefault="00E5030D" w:rsidP="00E5030D">
      <w:pPr>
        <w:tabs>
          <w:tab w:val="left" w:pos="5836"/>
        </w:tabs>
        <w:jc w:val="right"/>
      </w:pPr>
    </w:p>
    <w:p w14:paraId="3B5FE431" w14:textId="7E604839" w:rsidR="00E5030D" w:rsidRDefault="00E5030D" w:rsidP="00E5030D">
      <w:pPr>
        <w:tabs>
          <w:tab w:val="left" w:pos="5836"/>
        </w:tabs>
        <w:jc w:val="right"/>
        <w:rPr>
          <w:color w:val="808080"/>
        </w:rPr>
      </w:pPr>
      <w:r>
        <w:rPr>
          <w:color w:val="808080"/>
        </w:rPr>
        <w:t xml:space="preserve">Autor: Filippos </w:t>
      </w:r>
      <w:proofErr w:type="spellStart"/>
      <w:r>
        <w:rPr>
          <w:color w:val="808080"/>
        </w:rPr>
        <w:t>Dorezi</w:t>
      </w:r>
      <w:proofErr w:type="spellEnd"/>
      <w:r>
        <w:rPr>
          <w:color w:val="808080"/>
        </w:rPr>
        <w:t>,</w:t>
      </w:r>
      <w:r w:rsidR="009E429B">
        <w:rPr>
          <w:color w:val="808080"/>
        </w:rPr>
        <w:t xml:space="preserve"> </w:t>
      </w:r>
      <w:r>
        <w:rPr>
          <w:color w:val="808080"/>
        </w:rPr>
        <w:t>Víctor Huaman</w:t>
      </w:r>
    </w:p>
    <w:p w14:paraId="68C1EC76" w14:textId="77777777" w:rsidR="00E5030D" w:rsidRDefault="00E5030D" w:rsidP="00E5030D">
      <w:pPr>
        <w:tabs>
          <w:tab w:val="left" w:pos="5836"/>
        </w:tabs>
        <w:jc w:val="right"/>
        <w:rPr>
          <w:color w:val="808080"/>
        </w:rPr>
      </w:pPr>
      <w:r>
        <w:rPr>
          <w:color w:val="808080"/>
        </w:rPr>
        <w:t>Tutores: Jorge Centeno y Alberto González</w:t>
      </w:r>
    </w:p>
    <w:p w14:paraId="729961B3" w14:textId="328E628D" w:rsidR="00E5030D" w:rsidRDefault="00E5030D" w:rsidP="00E5030D">
      <w:pPr>
        <w:tabs>
          <w:tab w:val="left" w:pos="5836"/>
        </w:tabs>
        <w:jc w:val="right"/>
      </w:pPr>
      <w:r>
        <w:rPr>
          <w:color w:val="808080"/>
        </w:rPr>
        <w:t>Junio 2026</w:t>
      </w:r>
    </w:p>
    <w:p w14:paraId="11AB48E6" w14:textId="77777777" w:rsidR="00E5030D" w:rsidRDefault="00E5030D">
      <w:pPr>
        <w:pBdr>
          <w:bottom w:val="single" w:sz="12" w:space="8" w:color="FF860D"/>
        </w:pBdr>
        <w:spacing w:before="1100"/>
        <w:jc w:val="center"/>
        <w:rPr>
          <w:rFonts w:ascii="Calibri Light" w:eastAsia="Calibri Light" w:hAnsi="Calibri Light" w:cs="Calibri Light"/>
          <w:b/>
          <w:bCs/>
          <w:color w:val="0E2841"/>
          <w:sz w:val="36"/>
          <w:szCs w:val="36"/>
        </w:rPr>
      </w:pPr>
    </w:p>
    <w:p w14:paraId="05AF3D2C" w14:textId="77777777" w:rsidR="00E5030D" w:rsidRDefault="00E5030D" w:rsidP="00E5030D">
      <w:pPr>
        <w:pBdr>
          <w:bottom w:val="single" w:sz="12" w:space="8" w:color="FF860D"/>
        </w:pBdr>
        <w:spacing w:before="1100"/>
        <w:jc w:val="center"/>
        <w:rPr>
          <w:rFonts w:ascii="Calibri Light" w:eastAsia="Calibri Light" w:hAnsi="Calibri Light" w:cs="Calibri Light"/>
          <w:b/>
          <w:bCs/>
          <w:color w:val="0E2841"/>
          <w:sz w:val="36"/>
          <w:szCs w:val="36"/>
        </w:rPr>
      </w:pPr>
    </w:p>
    <w:p w14:paraId="2B0316BA" w14:textId="782A59AF" w:rsidR="007C0893" w:rsidRDefault="00000000">
      <w:pPr>
        <w:spacing w:after="200"/>
      </w:pPr>
      <w:r>
        <w:rPr>
          <w:b/>
          <w:bCs/>
          <w:color w:val="FF860D"/>
          <w:sz w:val="32"/>
          <w:szCs w:val="32"/>
        </w:rPr>
        <w:t>Índice</w:t>
      </w:r>
    </w:p>
    <w:sdt>
      <w:sdtPr>
        <w:alias w:val="Índice"/>
        <w:id w:val="2081098966"/>
      </w:sdtPr>
      <w:sdtContent>
        <w:p w14:paraId="308B9CD0" w14:textId="77777777" w:rsidR="00E5030D" w:rsidRDefault="00000000">
          <w:pPr>
            <w:pStyle w:val="TDC1"/>
            <w:tabs>
              <w:tab w:val="right" w:leader="dot" w:pos="9350"/>
            </w:tabs>
            <w:rPr>
              <w:noProof/>
            </w:rPr>
          </w:pPr>
          <w:r>
            <w:fldChar w:fldCharType="begin"/>
          </w:r>
          <w:r>
            <w:instrText>TOC \h \o "1-3"</w:instrText>
          </w:r>
          <w:r>
            <w:fldChar w:fldCharType="separate"/>
          </w:r>
          <w:hyperlink w:anchor="_Toc233752735" w:history="1">
            <w:r w:rsidR="00E5030D">
              <w:rPr>
                <w:rStyle w:val="Hipervnculo"/>
                <w:noProof/>
              </w:rPr>
              <w:t>1. Resumen</w:t>
            </w:r>
            <w:r w:rsidR="00E5030D">
              <w:rPr>
                <w:noProof/>
              </w:rPr>
              <w:tab/>
            </w:r>
            <w:r w:rsidR="00E5030D">
              <w:rPr>
                <w:noProof/>
              </w:rPr>
              <w:fldChar w:fldCharType="begin"/>
            </w:r>
            <w:r w:rsidR="00E5030D">
              <w:rPr>
                <w:noProof/>
              </w:rPr>
              <w:instrText xml:space="preserve"> PAGEREF _Toc233752735 \h </w:instrText>
            </w:r>
            <w:r w:rsidR="00E5030D">
              <w:rPr>
                <w:noProof/>
              </w:rPr>
            </w:r>
            <w:r w:rsidR="00E5030D">
              <w:rPr>
                <w:noProof/>
              </w:rPr>
              <w:fldChar w:fldCharType="separate"/>
            </w:r>
            <w:r w:rsidR="00E5030D">
              <w:rPr>
                <w:noProof/>
              </w:rPr>
              <w:t>1</w:t>
            </w:r>
            <w:r w:rsidR="00E5030D">
              <w:rPr>
                <w:noProof/>
              </w:rPr>
              <w:fldChar w:fldCharType="end"/>
            </w:r>
          </w:hyperlink>
        </w:p>
        <w:p w14:paraId="770B96B9" w14:textId="77777777" w:rsidR="00E5030D" w:rsidRDefault="00E5030D">
          <w:pPr>
            <w:pStyle w:val="TDC1"/>
            <w:tabs>
              <w:tab w:val="right" w:leader="dot" w:pos="9350"/>
            </w:tabs>
            <w:rPr>
              <w:noProof/>
            </w:rPr>
          </w:pPr>
          <w:hyperlink w:anchor="_Toc233752736" w:history="1">
            <w:r>
              <w:rPr>
                <w:rStyle w:val="Hipervnculo"/>
                <w:noProof/>
              </w:rPr>
              <w:t>2. Palabras clave</w:t>
            </w:r>
            <w:r>
              <w:rPr>
                <w:noProof/>
              </w:rPr>
              <w:tab/>
            </w:r>
            <w:r>
              <w:rPr>
                <w:noProof/>
              </w:rPr>
              <w:fldChar w:fldCharType="begin"/>
            </w:r>
            <w:r>
              <w:rPr>
                <w:noProof/>
              </w:rPr>
              <w:instrText xml:space="preserve"> PAGEREF _Toc233752736 \h </w:instrText>
            </w:r>
            <w:r>
              <w:rPr>
                <w:noProof/>
              </w:rPr>
            </w:r>
            <w:r>
              <w:rPr>
                <w:noProof/>
              </w:rPr>
              <w:fldChar w:fldCharType="separate"/>
            </w:r>
            <w:r>
              <w:rPr>
                <w:noProof/>
              </w:rPr>
              <w:t>1</w:t>
            </w:r>
            <w:r>
              <w:rPr>
                <w:noProof/>
              </w:rPr>
              <w:fldChar w:fldCharType="end"/>
            </w:r>
          </w:hyperlink>
        </w:p>
        <w:p w14:paraId="12A23C22" w14:textId="77777777" w:rsidR="00E5030D" w:rsidRDefault="00E5030D">
          <w:pPr>
            <w:pStyle w:val="TDC1"/>
            <w:tabs>
              <w:tab w:val="right" w:leader="dot" w:pos="9350"/>
            </w:tabs>
            <w:rPr>
              <w:noProof/>
            </w:rPr>
          </w:pPr>
          <w:hyperlink w:anchor="_Toc233752737" w:history="1">
            <w:r>
              <w:rPr>
                <w:rStyle w:val="Hipervnculo"/>
                <w:noProof/>
              </w:rPr>
              <w:t>3. Introducción</w:t>
            </w:r>
            <w:r>
              <w:rPr>
                <w:noProof/>
              </w:rPr>
              <w:tab/>
            </w:r>
            <w:r>
              <w:rPr>
                <w:noProof/>
              </w:rPr>
              <w:fldChar w:fldCharType="begin"/>
            </w:r>
            <w:r>
              <w:rPr>
                <w:noProof/>
              </w:rPr>
              <w:instrText xml:space="preserve"> PAGEREF _Toc233752737 \h </w:instrText>
            </w:r>
            <w:r>
              <w:rPr>
                <w:noProof/>
              </w:rPr>
            </w:r>
            <w:r>
              <w:rPr>
                <w:noProof/>
              </w:rPr>
              <w:fldChar w:fldCharType="separate"/>
            </w:r>
            <w:r>
              <w:rPr>
                <w:noProof/>
              </w:rPr>
              <w:t>1</w:t>
            </w:r>
            <w:r>
              <w:rPr>
                <w:noProof/>
              </w:rPr>
              <w:fldChar w:fldCharType="end"/>
            </w:r>
          </w:hyperlink>
        </w:p>
        <w:p w14:paraId="74E9A0D1" w14:textId="77777777" w:rsidR="00E5030D" w:rsidRDefault="00E5030D">
          <w:pPr>
            <w:pStyle w:val="TDC2"/>
            <w:tabs>
              <w:tab w:val="right" w:leader="dot" w:pos="9350"/>
            </w:tabs>
            <w:rPr>
              <w:noProof/>
            </w:rPr>
          </w:pPr>
          <w:hyperlink w:anchor="_Toc233752738" w:history="1">
            <w:r>
              <w:rPr>
                <w:rStyle w:val="Hipervnculo"/>
                <w:noProof/>
              </w:rPr>
              <w:t>3.1. Contextualización del proyecto</w:t>
            </w:r>
            <w:r>
              <w:rPr>
                <w:noProof/>
              </w:rPr>
              <w:tab/>
            </w:r>
            <w:r>
              <w:rPr>
                <w:noProof/>
              </w:rPr>
              <w:fldChar w:fldCharType="begin"/>
            </w:r>
            <w:r>
              <w:rPr>
                <w:noProof/>
              </w:rPr>
              <w:instrText xml:space="preserve"> PAGEREF _Toc233752738 \h </w:instrText>
            </w:r>
            <w:r>
              <w:rPr>
                <w:noProof/>
              </w:rPr>
            </w:r>
            <w:r>
              <w:rPr>
                <w:noProof/>
              </w:rPr>
              <w:fldChar w:fldCharType="separate"/>
            </w:r>
            <w:r>
              <w:rPr>
                <w:noProof/>
              </w:rPr>
              <w:t>1</w:t>
            </w:r>
            <w:r>
              <w:rPr>
                <w:noProof/>
              </w:rPr>
              <w:fldChar w:fldCharType="end"/>
            </w:r>
          </w:hyperlink>
        </w:p>
        <w:p w14:paraId="41CB622B" w14:textId="77777777" w:rsidR="00E5030D" w:rsidRDefault="00E5030D">
          <w:pPr>
            <w:pStyle w:val="TDC2"/>
            <w:tabs>
              <w:tab w:val="right" w:leader="dot" w:pos="9350"/>
            </w:tabs>
            <w:rPr>
              <w:noProof/>
            </w:rPr>
          </w:pPr>
          <w:hyperlink w:anchor="_Toc233752739" w:history="1">
            <w:r>
              <w:rPr>
                <w:rStyle w:val="Hipervnculo"/>
                <w:noProof/>
              </w:rPr>
              <w:t>3.2. Objetivos del proyecto</w:t>
            </w:r>
            <w:r>
              <w:rPr>
                <w:noProof/>
              </w:rPr>
              <w:tab/>
            </w:r>
            <w:r>
              <w:rPr>
                <w:noProof/>
              </w:rPr>
              <w:fldChar w:fldCharType="begin"/>
            </w:r>
            <w:r>
              <w:rPr>
                <w:noProof/>
              </w:rPr>
              <w:instrText xml:space="preserve"> PAGEREF _Toc233752739 \h </w:instrText>
            </w:r>
            <w:r>
              <w:rPr>
                <w:noProof/>
              </w:rPr>
            </w:r>
            <w:r>
              <w:rPr>
                <w:noProof/>
              </w:rPr>
              <w:fldChar w:fldCharType="separate"/>
            </w:r>
            <w:r>
              <w:rPr>
                <w:noProof/>
              </w:rPr>
              <w:t>1</w:t>
            </w:r>
            <w:r>
              <w:rPr>
                <w:noProof/>
              </w:rPr>
              <w:fldChar w:fldCharType="end"/>
            </w:r>
          </w:hyperlink>
        </w:p>
        <w:p w14:paraId="3281E95C" w14:textId="77777777" w:rsidR="00E5030D" w:rsidRDefault="00E5030D">
          <w:pPr>
            <w:pStyle w:val="TDC2"/>
            <w:tabs>
              <w:tab w:val="right" w:leader="dot" w:pos="9350"/>
            </w:tabs>
            <w:rPr>
              <w:noProof/>
            </w:rPr>
          </w:pPr>
          <w:hyperlink w:anchor="_Toc233752740" w:history="1">
            <w:r>
              <w:rPr>
                <w:rStyle w:val="Hipervnculo"/>
                <w:noProof/>
              </w:rPr>
              <w:t>3.3. Justificación e interés</w:t>
            </w:r>
            <w:r>
              <w:rPr>
                <w:noProof/>
              </w:rPr>
              <w:tab/>
            </w:r>
            <w:r>
              <w:rPr>
                <w:noProof/>
              </w:rPr>
              <w:fldChar w:fldCharType="begin"/>
            </w:r>
            <w:r>
              <w:rPr>
                <w:noProof/>
              </w:rPr>
              <w:instrText xml:space="preserve"> PAGEREF _Toc233752740 \h </w:instrText>
            </w:r>
            <w:r>
              <w:rPr>
                <w:noProof/>
              </w:rPr>
            </w:r>
            <w:r>
              <w:rPr>
                <w:noProof/>
              </w:rPr>
              <w:fldChar w:fldCharType="separate"/>
            </w:r>
            <w:r>
              <w:rPr>
                <w:noProof/>
              </w:rPr>
              <w:t>1</w:t>
            </w:r>
            <w:r>
              <w:rPr>
                <w:noProof/>
              </w:rPr>
              <w:fldChar w:fldCharType="end"/>
            </w:r>
          </w:hyperlink>
        </w:p>
        <w:p w14:paraId="3CE22AD1" w14:textId="77777777" w:rsidR="00E5030D" w:rsidRDefault="00E5030D">
          <w:pPr>
            <w:pStyle w:val="TDC1"/>
            <w:tabs>
              <w:tab w:val="right" w:leader="dot" w:pos="9350"/>
            </w:tabs>
            <w:rPr>
              <w:noProof/>
            </w:rPr>
          </w:pPr>
          <w:hyperlink w:anchor="_Toc233752741" w:history="1">
            <w:r>
              <w:rPr>
                <w:rStyle w:val="Hipervnculo"/>
                <w:noProof/>
              </w:rPr>
              <w:t>4. Metodología</w:t>
            </w:r>
            <w:r>
              <w:rPr>
                <w:noProof/>
              </w:rPr>
              <w:tab/>
            </w:r>
            <w:r>
              <w:rPr>
                <w:noProof/>
              </w:rPr>
              <w:fldChar w:fldCharType="begin"/>
            </w:r>
            <w:r>
              <w:rPr>
                <w:noProof/>
              </w:rPr>
              <w:instrText xml:space="preserve"> PAGEREF _Toc233752741 \h </w:instrText>
            </w:r>
            <w:r>
              <w:rPr>
                <w:noProof/>
              </w:rPr>
            </w:r>
            <w:r>
              <w:rPr>
                <w:noProof/>
              </w:rPr>
              <w:fldChar w:fldCharType="separate"/>
            </w:r>
            <w:r>
              <w:rPr>
                <w:noProof/>
              </w:rPr>
              <w:t>1</w:t>
            </w:r>
            <w:r>
              <w:rPr>
                <w:noProof/>
              </w:rPr>
              <w:fldChar w:fldCharType="end"/>
            </w:r>
          </w:hyperlink>
        </w:p>
        <w:p w14:paraId="4B9156D6" w14:textId="77777777" w:rsidR="00E5030D" w:rsidRDefault="00E5030D">
          <w:pPr>
            <w:pStyle w:val="TDC2"/>
            <w:tabs>
              <w:tab w:val="right" w:leader="dot" w:pos="9350"/>
            </w:tabs>
            <w:rPr>
              <w:noProof/>
            </w:rPr>
          </w:pPr>
          <w:hyperlink w:anchor="_Toc233752742" w:history="1">
            <w:r>
              <w:rPr>
                <w:rStyle w:val="Hipervnculo"/>
                <w:noProof/>
              </w:rPr>
              <w:t>4.1. Diseño general del proyecto</w:t>
            </w:r>
            <w:r>
              <w:rPr>
                <w:noProof/>
              </w:rPr>
              <w:tab/>
            </w:r>
            <w:r>
              <w:rPr>
                <w:noProof/>
              </w:rPr>
              <w:fldChar w:fldCharType="begin"/>
            </w:r>
            <w:r>
              <w:rPr>
                <w:noProof/>
              </w:rPr>
              <w:instrText xml:space="preserve"> PAGEREF _Toc233752742 \h </w:instrText>
            </w:r>
            <w:r>
              <w:rPr>
                <w:noProof/>
              </w:rPr>
            </w:r>
            <w:r>
              <w:rPr>
                <w:noProof/>
              </w:rPr>
              <w:fldChar w:fldCharType="separate"/>
            </w:r>
            <w:r>
              <w:rPr>
                <w:noProof/>
              </w:rPr>
              <w:t>1</w:t>
            </w:r>
            <w:r>
              <w:rPr>
                <w:noProof/>
              </w:rPr>
              <w:fldChar w:fldCharType="end"/>
            </w:r>
          </w:hyperlink>
        </w:p>
        <w:p w14:paraId="21BD3173" w14:textId="77777777" w:rsidR="00E5030D" w:rsidRDefault="00E5030D">
          <w:pPr>
            <w:pStyle w:val="TDC2"/>
            <w:tabs>
              <w:tab w:val="right" w:leader="dot" w:pos="9350"/>
            </w:tabs>
            <w:rPr>
              <w:noProof/>
            </w:rPr>
          </w:pPr>
          <w:hyperlink w:anchor="_Toc233752743" w:history="1">
            <w:r>
              <w:rPr>
                <w:rStyle w:val="Hipervnculo"/>
                <w:noProof/>
              </w:rPr>
              <w:t>4.2. Proceso de trabajo y fases (planificación)</w:t>
            </w:r>
            <w:r>
              <w:rPr>
                <w:noProof/>
              </w:rPr>
              <w:tab/>
            </w:r>
            <w:r>
              <w:rPr>
                <w:noProof/>
              </w:rPr>
              <w:fldChar w:fldCharType="begin"/>
            </w:r>
            <w:r>
              <w:rPr>
                <w:noProof/>
              </w:rPr>
              <w:instrText xml:space="preserve"> PAGEREF _Toc233752743 \h </w:instrText>
            </w:r>
            <w:r>
              <w:rPr>
                <w:noProof/>
              </w:rPr>
            </w:r>
            <w:r>
              <w:rPr>
                <w:noProof/>
              </w:rPr>
              <w:fldChar w:fldCharType="separate"/>
            </w:r>
            <w:r>
              <w:rPr>
                <w:noProof/>
              </w:rPr>
              <w:t>1</w:t>
            </w:r>
            <w:r>
              <w:rPr>
                <w:noProof/>
              </w:rPr>
              <w:fldChar w:fldCharType="end"/>
            </w:r>
          </w:hyperlink>
        </w:p>
        <w:p w14:paraId="721EDD38" w14:textId="77777777" w:rsidR="00E5030D" w:rsidRDefault="00E5030D">
          <w:pPr>
            <w:pStyle w:val="TDC1"/>
            <w:tabs>
              <w:tab w:val="right" w:leader="dot" w:pos="9350"/>
            </w:tabs>
            <w:rPr>
              <w:noProof/>
            </w:rPr>
          </w:pPr>
          <w:hyperlink w:anchor="_Toc233752744" w:history="1">
            <w:r>
              <w:rPr>
                <w:rStyle w:val="Hipervnculo"/>
                <w:noProof/>
              </w:rPr>
              <w:t>5. Arquitectura</w:t>
            </w:r>
            <w:r>
              <w:rPr>
                <w:noProof/>
              </w:rPr>
              <w:tab/>
            </w:r>
            <w:r>
              <w:rPr>
                <w:noProof/>
              </w:rPr>
              <w:fldChar w:fldCharType="begin"/>
            </w:r>
            <w:r>
              <w:rPr>
                <w:noProof/>
              </w:rPr>
              <w:instrText xml:space="preserve"> PAGEREF _Toc233752744 \h </w:instrText>
            </w:r>
            <w:r>
              <w:rPr>
                <w:noProof/>
              </w:rPr>
            </w:r>
            <w:r>
              <w:rPr>
                <w:noProof/>
              </w:rPr>
              <w:fldChar w:fldCharType="separate"/>
            </w:r>
            <w:r>
              <w:rPr>
                <w:noProof/>
              </w:rPr>
              <w:t>1</w:t>
            </w:r>
            <w:r>
              <w:rPr>
                <w:noProof/>
              </w:rPr>
              <w:fldChar w:fldCharType="end"/>
            </w:r>
          </w:hyperlink>
        </w:p>
        <w:p w14:paraId="2519A262" w14:textId="77777777" w:rsidR="00E5030D" w:rsidRDefault="00E5030D">
          <w:pPr>
            <w:pStyle w:val="TDC2"/>
            <w:tabs>
              <w:tab w:val="right" w:leader="dot" w:pos="9350"/>
            </w:tabs>
            <w:rPr>
              <w:noProof/>
            </w:rPr>
          </w:pPr>
          <w:hyperlink w:anchor="_Toc233752745" w:history="1">
            <w:r>
              <w:rPr>
                <w:rStyle w:val="Hipervnculo"/>
                <w:noProof/>
              </w:rPr>
              <w:t>5.1. Diagrama general</w:t>
            </w:r>
            <w:r>
              <w:rPr>
                <w:noProof/>
              </w:rPr>
              <w:tab/>
            </w:r>
            <w:r>
              <w:rPr>
                <w:noProof/>
              </w:rPr>
              <w:fldChar w:fldCharType="begin"/>
            </w:r>
            <w:r>
              <w:rPr>
                <w:noProof/>
              </w:rPr>
              <w:instrText xml:space="preserve"> PAGEREF _Toc233752745 \h </w:instrText>
            </w:r>
            <w:r>
              <w:rPr>
                <w:noProof/>
              </w:rPr>
            </w:r>
            <w:r>
              <w:rPr>
                <w:noProof/>
              </w:rPr>
              <w:fldChar w:fldCharType="separate"/>
            </w:r>
            <w:r>
              <w:rPr>
                <w:noProof/>
              </w:rPr>
              <w:t>1</w:t>
            </w:r>
            <w:r>
              <w:rPr>
                <w:noProof/>
              </w:rPr>
              <w:fldChar w:fldCharType="end"/>
            </w:r>
          </w:hyperlink>
        </w:p>
        <w:p w14:paraId="637758F3" w14:textId="77777777" w:rsidR="00E5030D" w:rsidRDefault="00E5030D">
          <w:pPr>
            <w:pStyle w:val="TDC2"/>
            <w:tabs>
              <w:tab w:val="right" w:leader="dot" w:pos="9350"/>
            </w:tabs>
            <w:rPr>
              <w:noProof/>
            </w:rPr>
          </w:pPr>
          <w:hyperlink w:anchor="_Toc233752746" w:history="1">
            <w:r>
              <w:rPr>
                <w:rStyle w:val="Hipervnculo"/>
                <w:noProof/>
              </w:rPr>
              <w:t>5.2. Descripción de la arquitectura técnica</w:t>
            </w:r>
            <w:r>
              <w:rPr>
                <w:noProof/>
              </w:rPr>
              <w:tab/>
            </w:r>
            <w:r>
              <w:rPr>
                <w:noProof/>
              </w:rPr>
              <w:fldChar w:fldCharType="begin"/>
            </w:r>
            <w:r>
              <w:rPr>
                <w:noProof/>
              </w:rPr>
              <w:instrText xml:space="preserve"> PAGEREF _Toc233752746 \h </w:instrText>
            </w:r>
            <w:r>
              <w:rPr>
                <w:noProof/>
              </w:rPr>
            </w:r>
            <w:r>
              <w:rPr>
                <w:noProof/>
              </w:rPr>
              <w:fldChar w:fldCharType="separate"/>
            </w:r>
            <w:r>
              <w:rPr>
                <w:noProof/>
              </w:rPr>
              <w:t>1</w:t>
            </w:r>
            <w:r>
              <w:rPr>
                <w:noProof/>
              </w:rPr>
              <w:fldChar w:fldCharType="end"/>
            </w:r>
          </w:hyperlink>
        </w:p>
        <w:p w14:paraId="749C49D3" w14:textId="77777777" w:rsidR="00E5030D" w:rsidRDefault="00E5030D">
          <w:pPr>
            <w:pStyle w:val="TDC2"/>
            <w:tabs>
              <w:tab w:val="right" w:leader="dot" w:pos="9350"/>
            </w:tabs>
            <w:rPr>
              <w:noProof/>
            </w:rPr>
          </w:pPr>
          <w:hyperlink w:anchor="_Toc233752747" w:history="1">
            <w:r>
              <w:rPr>
                <w:rStyle w:val="Hipervnculo"/>
                <w:noProof/>
              </w:rPr>
              <w:t>5.3. Justificación de elección de tecnologías</w:t>
            </w:r>
            <w:r>
              <w:rPr>
                <w:noProof/>
              </w:rPr>
              <w:tab/>
            </w:r>
            <w:r>
              <w:rPr>
                <w:noProof/>
              </w:rPr>
              <w:fldChar w:fldCharType="begin"/>
            </w:r>
            <w:r>
              <w:rPr>
                <w:noProof/>
              </w:rPr>
              <w:instrText xml:space="preserve"> PAGEREF _Toc233752747 \h </w:instrText>
            </w:r>
            <w:r>
              <w:rPr>
                <w:noProof/>
              </w:rPr>
            </w:r>
            <w:r>
              <w:rPr>
                <w:noProof/>
              </w:rPr>
              <w:fldChar w:fldCharType="separate"/>
            </w:r>
            <w:r>
              <w:rPr>
                <w:noProof/>
              </w:rPr>
              <w:t>1</w:t>
            </w:r>
            <w:r>
              <w:rPr>
                <w:noProof/>
              </w:rPr>
              <w:fldChar w:fldCharType="end"/>
            </w:r>
          </w:hyperlink>
        </w:p>
        <w:p w14:paraId="2AC924E8" w14:textId="77777777" w:rsidR="00E5030D" w:rsidRDefault="00E5030D">
          <w:pPr>
            <w:pStyle w:val="TDC2"/>
            <w:tabs>
              <w:tab w:val="right" w:leader="dot" w:pos="9350"/>
            </w:tabs>
            <w:rPr>
              <w:noProof/>
            </w:rPr>
          </w:pPr>
          <w:hyperlink w:anchor="_Toc233752748" w:history="1">
            <w:r>
              <w:rPr>
                <w:rStyle w:val="Hipervnculo"/>
                <w:noProof/>
              </w:rPr>
              <w:t>5.4. Estimación básica de costes de infraestructura</w:t>
            </w:r>
            <w:r>
              <w:rPr>
                <w:noProof/>
              </w:rPr>
              <w:tab/>
            </w:r>
            <w:r>
              <w:rPr>
                <w:noProof/>
              </w:rPr>
              <w:fldChar w:fldCharType="begin"/>
            </w:r>
            <w:r>
              <w:rPr>
                <w:noProof/>
              </w:rPr>
              <w:instrText xml:space="preserve"> PAGEREF _Toc233752748 \h </w:instrText>
            </w:r>
            <w:r>
              <w:rPr>
                <w:noProof/>
              </w:rPr>
            </w:r>
            <w:r>
              <w:rPr>
                <w:noProof/>
              </w:rPr>
              <w:fldChar w:fldCharType="separate"/>
            </w:r>
            <w:r>
              <w:rPr>
                <w:noProof/>
              </w:rPr>
              <w:t>1</w:t>
            </w:r>
            <w:r>
              <w:rPr>
                <w:noProof/>
              </w:rPr>
              <w:fldChar w:fldCharType="end"/>
            </w:r>
          </w:hyperlink>
        </w:p>
        <w:p w14:paraId="01999880" w14:textId="77777777" w:rsidR="00E5030D" w:rsidRDefault="00E5030D">
          <w:pPr>
            <w:pStyle w:val="TDC2"/>
            <w:tabs>
              <w:tab w:val="right" w:leader="dot" w:pos="9350"/>
            </w:tabs>
            <w:rPr>
              <w:noProof/>
            </w:rPr>
          </w:pPr>
          <w:hyperlink w:anchor="_Toc233752749" w:history="1">
            <w:r>
              <w:rPr>
                <w:rStyle w:val="Hipervnculo"/>
                <w:noProof/>
              </w:rPr>
              <w:t>5.5. Estrategia DevOps</w:t>
            </w:r>
            <w:r>
              <w:rPr>
                <w:noProof/>
              </w:rPr>
              <w:tab/>
            </w:r>
            <w:r>
              <w:rPr>
                <w:noProof/>
              </w:rPr>
              <w:fldChar w:fldCharType="begin"/>
            </w:r>
            <w:r>
              <w:rPr>
                <w:noProof/>
              </w:rPr>
              <w:instrText xml:space="preserve"> PAGEREF _Toc233752749 \h </w:instrText>
            </w:r>
            <w:r>
              <w:rPr>
                <w:noProof/>
              </w:rPr>
            </w:r>
            <w:r>
              <w:rPr>
                <w:noProof/>
              </w:rPr>
              <w:fldChar w:fldCharType="separate"/>
            </w:r>
            <w:r>
              <w:rPr>
                <w:noProof/>
              </w:rPr>
              <w:t>1</w:t>
            </w:r>
            <w:r>
              <w:rPr>
                <w:noProof/>
              </w:rPr>
              <w:fldChar w:fldCharType="end"/>
            </w:r>
          </w:hyperlink>
        </w:p>
        <w:p w14:paraId="7C7C0D29" w14:textId="77777777" w:rsidR="00E5030D" w:rsidRDefault="00E5030D">
          <w:pPr>
            <w:pStyle w:val="TDC1"/>
            <w:tabs>
              <w:tab w:val="right" w:leader="dot" w:pos="9350"/>
            </w:tabs>
            <w:rPr>
              <w:noProof/>
            </w:rPr>
          </w:pPr>
          <w:hyperlink w:anchor="_Toc233752750" w:history="1">
            <w:r>
              <w:rPr>
                <w:rStyle w:val="Hipervnculo"/>
                <w:noProof/>
              </w:rPr>
              <w:t>6. Solución tecnológica</w:t>
            </w:r>
            <w:r>
              <w:rPr>
                <w:noProof/>
              </w:rPr>
              <w:tab/>
            </w:r>
            <w:r>
              <w:rPr>
                <w:noProof/>
              </w:rPr>
              <w:fldChar w:fldCharType="begin"/>
            </w:r>
            <w:r>
              <w:rPr>
                <w:noProof/>
              </w:rPr>
              <w:instrText xml:space="preserve"> PAGEREF _Toc233752750 \h </w:instrText>
            </w:r>
            <w:r>
              <w:rPr>
                <w:noProof/>
              </w:rPr>
            </w:r>
            <w:r>
              <w:rPr>
                <w:noProof/>
              </w:rPr>
              <w:fldChar w:fldCharType="separate"/>
            </w:r>
            <w:r>
              <w:rPr>
                <w:noProof/>
              </w:rPr>
              <w:t>1</w:t>
            </w:r>
            <w:r>
              <w:rPr>
                <w:noProof/>
              </w:rPr>
              <w:fldChar w:fldCharType="end"/>
            </w:r>
          </w:hyperlink>
        </w:p>
        <w:p w14:paraId="3E11D39C" w14:textId="77777777" w:rsidR="00E5030D" w:rsidRDefault="00E5030D">
          <w:pPr>
            <w:pStyle w:val="TDC2"/>
            <w:tabs>
              <w:tab w:val="right" w:leader="dot" w:pos="9350"/>
            </w:tabs>
            <w:rPr>
              <w:noProof/>
            </w:rPr>
          </w:pPr>
          <w:hyperlink w:anchor="_Toc233752751" w:history="1">
            <w:r>
              <w:rPr>
                <w:rStyle w:val="Hipervnculo"/>
                <w:noProof/>
              </w:rPr>
              <w:t>6.1. Fuentes de datos</w:t>
            </w:r>
            <w:r>
              <w:rPr>
                <w:noProof/>
              </w:rPr>
              <w:tab/>
            </w:r>
            <w:r>
              <w:rPr>
                <w:noProof/>
              </w:rPr>
              <w:fldChar w:fldCharType="begin"/>
            </w:r>
            <w:r>
              <w:rPr>
                <w:noProof/>
              </w:rPr>
              <w:instrText xml:space="preserve"> PAGEREF _Toc233752751 \h </w:instrText>
            </w:r>
            <w:r>
              <w:rPr>
                <w:noProof/>
              </w:rPr>
            </w:r>
            <w:r>
              <w:rPr>
                <w:noProof/>
              </w:rPr>
              <w:fldChar w:fldCharType="separate"/>
            </w:r>
            <w:r>
              <w:rPr>
                <w:noProof/>
              </w:rPr>
              <w:t>1</w:t>
            </w:r>
            <w:r>
              <w:rPr>
                <w:noProof/>
              </w:rPr>
              <w:fldChar w:fldCharType="end"/>
            </w:r>
          </w:hyperlink>
        </w:p>
        <w:p w14:paraId="4CEFD479" w14:textId="77777777" w:rsidR="00E5030D" w:rsidRDefault="00E5030D">
          <w:pPr>
            <w:pStyle w:val="TDC2"/>
            <w:tabs>
              <w:tab w:val="right" w:leader="dot" w:pos="9350"/>
            </w:tabs>
            <w:rPr>
              <w:noProof/>
            </w:rPr>
          </w:pPr>
          <w:hyperlink w:anchor="_Toc233752752" w:history="1">
            <w:r>
              <w:rPr>
                <w:rStyle w:val="Hipervnculo"/>
                <w:noProof/>
              </w:rPr>
              <w:t>6.2. Preparación de datos</w:t>
            </w:r>
            <w:r>
              <w:rPr>
                <w:noProof/>
              </w:rPr>
              <w:tab/>
            </w:r>
            <w:r>
              <w:rPr>
                <w:noProof/>
              </w:rPr>
              <w:fldChar w:fldCharType="begin"/>
            </w:r>
            <w:r>
              <w:rPr>
                <w:noProof/>
              </w:rPr>
              <w:instrText xml:space="preserve"> PAGEREF _Toc233752752 \h </w:instrText>
            </w:r>
            <w:r>
              <w:rPr>
                <w:noProof/>
              </w:rPr>
            </w:r>
            <w:r>
              <w:rPr>
                <w:noProof/>
              </w:rPr>
              <w:fldChar w:fldCharType="separate"/>
            </w:r>
            <w:r>
              <w:rPr>
                <w:noProof/>
              </w:rPr>
              <w:t>1</w:t>
            </w:r>
            <w:r>
              <w:rPr>
                <w:noProof/>
              </w:rPr>
              <w:fldChar w:fldCharType="end"/>
            </w:r>
          </w:hyperlink>
        </w:p>
        <w:p w14:paraId="27B706C4" w14:textId="77777777" w:rsidR="00E5030D" w:rsidRDefault="00E5030D">
          <w:pPr>
            <w:pStyle w:val="TDC2"/>
            <w:tabs>
              <w:tab w:val="right" w:leader="dot" w:pos="9350"/>
            </w:tabs>
            <w:rPr>
              <w:noProof/>
            </w:rPr>
          </w:pPr>
          <w:hyperlink w:anchor="_Toc233752753" w:history="1">
            <w:r>
              <w:rPr>
                <w:rStyle w:val="Hipervnculo"/>
                <w:noProof/>
              </w:rPr>
              <w:t>6.3. Flujos de datos</w:t>
            </w:r>
            <w:r>
              <w:rPr>
                <w:noProof/>
              </w:rPr>
              <w:tab/>
            </w:r>
            <w:r>
              <w:rPr>
                <w:noProof/>
              </w:rPr>
              <w:fldChar w:fldCharType="begin"/>
            </w:r>
            <w:r>
              <w:rPr>
                <w:noProof/>
              </w:rPr>
              <w:instrText xml:space="preserve"> PAGEREF _Toc233752753 \h </w:instrText>
            </w:r>
            <w:r>
              <w:rPr>
                <w:noProof/>
              </w:rPr>
            </w:r>
            <w:r>
              <w:rPr>
                <w:noProof/>
              </w:rPr>
              <w:fldChar w:fldCharType="separate"/>
            </w:r>
            <w:r>
              <w:rPr>
                <w:noProof/>
              </w:rPr>
              <w:t>1</w:t>
            </w:r>
            <w:r>
              <w:rPr>
                <w:noProof/>
              </w:rPr>
              <w:fldChar w:fldCharType="end"/>
            </w:r>
          </w:hyperlink>
        </w:p>
        <w:p w14:paraId="338B5AC1" w14:textId="77777777" w:rsidR="00E5030D" w:rsidRDefault="00E5030D">
          <w:pPr>
            <w:pStyle w:val="TDC2"/>
            <w:tabs>
              <w:tab w:val="right" w:leader="dot" w:pos="9350"/>
            </w:tabs>
            <w:rPr>
              <w:noProof/>
            </w:rPr>
          </w:pPr>
          <w:hyperlink w:anchor="_Toc233752754" w:history="1">
            <w:r>
              <w:rPr>
                <w:rStyle w:val="Hipervnculo"/>
                <w:noProof/>
              </w:rPr>
              <w:t>6.4. Procesamiento (batch, streaming, etc.)</w:t>
            </w:r>
            <w:r>
              <w:rPr>
                <w:noProof/>
              </w:rPr>
              <w:tab/>
            </w:r>
            <w:r>
              <w:rPr>
                <w:noProof/>
              </w:rPr>
              <w:fldChar w:fldCharType="begin"/>
            </w:r>
            <w:r>
              <w:rPr>
                <w:noProof/>
              </w:rPr>
              <w:instrText xml:space="preserve"> PAGEREF _Toc233752754 \h </w:instrText>
            </w:r>
            <w:r>
              <w:rPr>
                <w:noProof/>
              </w:rPr>
            </w:r>
            <w:r>
              <w:rPr>
                <w:noProof/>
              </w:rPr>
              <w:fldChar w:fldCharType="separate"/>
            </w:r>
            <w:r>
              <w:rPr>
                <w:noProof/>
              </w:rPr>
              <w:t>1</w:t>
            </w:r>
            <w:r>
              <w:rPr>
                <w:noProof/>
              </w:rPr>
              <w:fldChar w:fldCharType="end"/>
            </w:r>
          </w:hyperlink>
        </w:p>
        <w:p w14:paraId="042577E2" w14:textId="77777777" w:rsidR="00E5030D" w:rsidRDefault="00E5030D">
          <w:pPr>
            <w:pStyle w:val="TDC2"/>
            <w:tabs>
              <w:tab w:val="right" w:leader="dot" w:pos="9350"/>
            </w:tabs>
            <w:rPr>
              <w:noProof/>
            </w:rPr>
          </w:pPr>
          <w:hyperlink w:anchor="_Toc233752755" w:history="1">
            <w:r>
              <w:rPr>
                <w:rStyle w:val="Hipervnculo"/>
                <w:noProof/>
              </w:rPr>
              <w:t>6.5. Orquestación</w:t>
            </w:r>
            <w:r>
              <w:rPr>
                <w:noProof/>
              </w:rPr>
              <w:tab/>
            </w:r>
            <w:r>
              <w:rPr>
                <w:noProof/>
              </w:rPr>
              <w:fldChar w:fldCharType="begin"/>
            </w:r>
            <w:r>
              <w:rPr>
                <w:noProof/>
              </w:rPr>
              <w:instrText xml:space="preserve"> PAGEREF _Toc233752755 \h </w:instrText>
            </w:r>
            <w:r>
              <w:rPr>
                <w:noProof/>
              </w:rPr>
            </w:r>
            <w:r>
              <w:rPr>
                <w:noProof/>
              </w:rPr>
              <w:fldChar w:fldCharType="separate"/>
            </w:r>
            <w:r>
              <w:rPr>
                <w:noProof/>
              </w:rPr>
              <w:t>1</w:t>
            </w:r>
            <w:r>
              <w:rPr>
                <w:noProof/>
              </w:rPr>
              <w:fldChar w:fldCharType="end"/>
            </w:r>
          </w:hyperlink>
        </w:p>
        <w:p w14:paraId="2C74BD71" w14:textId="77777777" w:rsidR="00E5030D" w:rsidRDefault="00E5030D">
          <w:pPr>
            <w:pStyle w:val="TDC2"/>
            <w:tabs>
              <w:tab w:val="right" w:leader="dot" w:pos="9350"/>
            </w:tabs>
            <w:rPr>
              <w:noProof/>
            </w:rPr>
          </w:pPr>
          <w:hyperlink w:anchor="_Toc233752756" w:history="1">
            <w:r>
              <w:rPr>
                <w:rStyle w:val="Hipervnculo"/>
                <w:noProof/>
              </w:rPr>
              <w:t>6.6. Almacenamiento y consulta</w:t>
            </w:r>
            <w:r>
              <w:rPr>
                <w:noProof/>
              </w:rPr>
              <w:tab/>
            </w:r>
            <w:r>
              <w:rPr>
                <w:noProof/>
              </w:rPr>
              <w:fldChar w:fldCharType="begin"/>
            </w:r>
            <w:r>
              <w:rPr>
                <w:noProof/>
              </w:rPr>
              <w:instrText xml:space="preserve"> PAGEREF _Toc233752756 \h </w:instrText>
            </w:r>
            <w:r>
              <w:rPr>
                <w:noProof/>
              </w:rPr>
            </w:r>
            <w:r>
              <w:rPr>
                <w:noProof/>
              </w:rPr>
              <w:fldChar w:fldCharType="separate"/>
            </w:r>
            <w:r>
              <w:rPr>
                <w:noProof/>
              </w:rPr>
              <w:t>1</w:t>
            </w:r>
            <w:r>
              <w:rPr>
                <w:noProof/>
              </w:rPr>
              <w:fldChar w:fldCharType="end"/>
            </w:r>
          </w:hyperlink>
        </w:p>
        <w:p w14:paraId="15947590" w14:textId="77777777" w:rsidR="00E5030D" w:rsidRDefault="00E5030D">
          <w:pPr>
            <w:pStyle w:val="TDC2"/>
            <w:tabs>
              <w:tab w:val="right" w:leader="dot" w:pos="9350"/>
            </w:tabs>
            <w:rPr>
              <w:noProof/>
            </w:rPr>
          </w:pPr>
          <w:hyperlink w:anchor="_Toc233752757" w:history="1">
            <w:r>
              <w:rPr>
                <w:rStyle w:val="Hipervnculo"/>
                <w:noProof/>
              </w:rPr>
              <w:t>6.7. Explotación de resultados (reporting, modelos…)</w:t>
            </w:r>
            <w:r>
              <w:rPr>
                <w:noProof/>
              </w:rPr>
              <w:tab/>
            </w:r>
            <w:r>
              <w:rPr>
                <w:noProof/>
              </w:rPr>
              <w:fldChar w:fldCharType="begin"/>
            </w:r>
            <w:r>
              <w:rPr>
                <w:noProof/>
              </w:rPr>
              <w:instrText xml:space="preserve"> PAGEREF _Toc233752757 \h </w:instrText>
            </w:r>
            <w:r>
              <w:rPr>
                <w:noProof/>
              </w:rPr>
            </w:r>
            <w:r>
              <w:rPr>
                <w:noProof/>
              </w:rPr>
              <w:fldChar w:fldCharType="separate"/>
            </w:r>
            <w:r>
              <w:rPr>
                <w:noProof/>
              </w:rPr>
              <w:t>1</w:t>
            </w:r>
            <w:r>
              <w:rPr>
                <w:noProof/>
              </w:rPr>
              <w:fldChar w:fldCharType="end"/>
            </w:r>
          </w:hyperlink>
        </w:p>
        <w:p w14:paraId="7B6EE329" w14:textId="77777777" w:rsidR="00E5030D" w:rsidRDefault="00E5030D">
          <w:pPr>
            <w:pStyle w:val="TDC2"/>
            <w:tabs>
              <w:tab w:val="right" w:leader="dot" w:pos="9350"/>
            </w:tabs>
            <w:rPr>
              <w:noProof/>
            </w:rPr>
          </w:pPr>
          <w:hyperlink w:anchor="_Toc233752758" w:history="1">
            <w:r>
              <w:rPr>
                <w:rStyle w:val="Hipervnculo"/>
                <w:noProof/>
              </w:rPr>
              <w:t>6.8. Consideraciones éticas / legales del uso de datos</w:t>
            </w:r>
            <w:r>
              <w:rPr>
                <w:noProof/>
              </w:rPr>
              <w:tab/>
            </w:r>
            <w:r>
              <w:rPr>
                <w:noProof/>
              </w:rPr>
              <w:fldChar w:fldCharType="begin"/>
            </w:r>
            <w:r>
              <w:rPr>
                <w:noProof/>
              </w:rPr>
              <w:instrText xml:space="preserve"> PAGEREF _Toc233752758 \h </w:instrText>
            </w:r>
            <w:r>
              <w:rPr>
                <w:noProof/>
              </w:rPr>
            </w:r>
            <w:r>
              <w:rPr>
                <w:noProof/>
              </w:rPr>
              <w:fldChar w:fldCharType="separate"/>
            </w:r>
            <w:r>
              <w:rPr>
                <w:noProof/>
              </w:rPr>
              <w:t>1</w:t>
            </w:r>
            <w:r>
              <w:rPr>
                <w:noProof/>
              </w:rPr>
              <w:fldChar w:fldCharType="end"/>
            </w:r>
          </w:hyperlink>
        </w:p>
        <w:p w14:paraId="680D9188" w14:textId="77777777" w:rsidR="00E5030D" w:rsidRDefault="00E5030D">
          <w:pPr>
            <w:pStyle w:val="TDC1"/>
            <w:tabs>
              <w:tab w:val="right" w:leader="dot" w:pos="9350"/>
            </w:tabs>
            <w:rPr>
              <w:noProof/>
            </w:rPr>
          </w:pPr>
          <w:hyperlink w:anchor="_Toc233752759" w:history="1">
            <w:r>
              <w:rPr>
                <w:rStyle w:val="Hipervnculo"/>
                <w:noProof/>
              </w:rPr>
              <w:t>7. Resultados y conclusiones</w:t>
            </w:r>
            <w:r>
              <w:rPr>
                <w:noProof/>
              </w:rPr>
              <w:tab/>
            </w:r>
            <w:r>
              <w:rPr>
                <w:noProof/>
              </w:rPr>
              <w:fldChar w:fldCharType="begin"/>
            </w:r>
            <w:r>
              <w:rPr>
                <w:noProof/>
              </w:rPr>
              <w:instrText xml:space="preserve"> PAGEREF _Toc233752759 \h </w:instrText>
            </w:r>
            <w:r>
              <w:rPr>
                <w:noProof/>
              </w:rPr>
            </w:r>
            <w:r>
              <w:rPr>
                <w:noProof/>
              </w:rPr>
              <w:fldChar w:fldCharType="separate"/>
            </w:r>
            <w:r>
              <w:rPr>
                <w:noProof/>
              </w:rPr>
              <w:t>1</w:t>
            </w:r>
            <w:r>
              <w:rPr>
                <w:noProof/>
              </w:rPr>
              <w:fldChar w:fldCharType="end"/>
            </w:r>
          </w:hyperlink>
        </w:p>
        <w:p w14:paraId="6B94EF23" w14:textId="77777777" w:rsidR="00E5030D" w:rsidRDefault="00E5030D">
          <w:pPr>
            <w:pStyle w:val="TDC2"/>
            <w:tabs>
              <w:tab w:val="right" w:leader="dot" w:pos="9350"/>
            </w:tabs>
            <w:rPr>
              <w:noProof/>
            </w:rPr>
          </w:pPr>
          <w:hyperlink w:anchor="_Toc233752760" w:history="1">
            <w:r>
              <w:rPr>
                <w:rStyle w:val="Hipervnculo"/>
                <w:noProof/>
              </w:rPr>
              <w:t>7.1. Logros alcanzados y validación de los resultados</w:t>
            </w:r>
            <w:r>
              <w:rPr>
                <w:noProof/>
              </w:rPr>
              <w:tab/>
            </w:r>
            <w:r>
              <w:rPr>
                <w:noProof/>
              </w:rPr>
              <w:fldChar w:fldCharType="begin"/>
            </w:r>
            <w:r>
              <w:rPr>
                <w:noProof/>
              </w:rPr>
              <w:instrText xml:space="preserve"> PAGEREF _Toc233752760 \h </w:instrText>
            </w:r>
            <w:r>
              <w:rPr>
                <w:noProof/>
              </w:rPr>
            </w:r>
            <w:r>
              <w:rPr>
                <w:noProof/>
              </w:rPr>
              <w:fldChar w:fldCharType="separate"/>
            </w:r>
            <w:r>
              <w:rPr>
                <w:noProof/>
              </w:rPr>
              <w:t>1</w:t>
            </w:r>
            <w:r>
              <w:rPr>
                <w:noProof/>
              </w:rPr>
              <w:fldChar w:fldCharType="end"/>
            </w:r>
          </w:hyperlink>
        </w:p>
        <w:p w14:paraId="4BA6FEA9" w14:textId="77777777" w:rsidR="00E5030D" w:rsidRDefault="00E5030D">
          <w:pPr>
            <w:pStyle w:val="TDC2"/>
            <w:tabs>
              <w:tab w:val="right" w:leader="dot" w:pos="9350"/>
            </w:tabs>
            <w:rPr>
              <w:noProof/>
            </w:rPr>
          </w:pPr>
          <w:hyperlink w:anchor="_Toc233752761" w:history="1">
            <w:r>
              <w:rPr>
                <w:rStyle w:val="Hipervnculo"/>
                <w:noProof/>
              </w:rPr>
              <w:t>7.2. Métricas utilizadas</w:t>
            </w:r>
            <w:r>
              <w:rPr>
                <w:noProof/>
              </w:rPr>
              <w:tab/>
            </w:r>
            <w:r>
              <w:rPr>
                <w:noProof/>
              </w:rPr>
              <w:fldChar w:fldCharType="begin"/>
            </w:r>
            <w:r>
              <w:rPr>
                <w:noProof/>
              </w:rPr>
              <w:instrText xml:space="preserve"> PAGEREF _Toc233752761 \h </w:instrText>
            </w:r>
            <w:r>
              <w:rPr>
                <w:noProof/>
              </w:rPr>
            </w:r>
            <w:r>
              <w:rPr>
                <w:noProof/>
              </w:rPr>
              <w:fldChar w:fldCharType="separate"/>
            </w:r>
            <w:r>
              <w:rPr>
                <w:noProof/>
              </w:rPr>
              <w:t>1</w:t>
            </w:r>
            <w:r>
              <w:rPr>
                <w:noProof/>
              </w:rPr>
              <w:fldChar w:fldCharType="end"/>
            </w:r>
          </w:hyperlink>
        </w:p>
        <w:p w14:paraId="6084776E" w14:textId="77777777" w:rsidR="00E5030D" w:rsidRDefault="00E5030D">
          <w:pPr>
            <w:pStyle w:val="TDC2"/>
            <w:tabs>
              <w:tab w:val="right" w:leader="dot" w:pos="9350"/>
            </w:tabs>
            <w:rPr>
              <w:noProof/>
            </w:rPr>
          </w:pPr>
          <w:hyperlink w:anchor="_Toc233752762" w:history="1">
            <w:r>
              <w:rPr>
                <w:rStyle w:val="Hipervnculo"/>
                <w:noProof/>
              </w:rPr>
              <w:t>7.3. Comparativas realizadas</w:t>
            </w:r>
            <w:r>
              <w:rPr>
                <w:noProof/>
              </w:rPr>
              <w:tab/>
            </w:r>
            <w:r>
              <w:rPr>
                <w:noProof/>
              </w:rPr>
              <w:fldChar w:fldCharType="begin"/>
            </w:r>
            <w:r>
              <w:rPr>
                <w:noProof/>
              </w:rPr>
              <w:instrText xml:space="preserve"> PAGEREF _Toc233752762 \h </w:instrText>
            </w:r>
            <w:r>
              <w:rPr>
                <w:noProof/>
              </w:rPr>
            </w:r>
            <w:r>
              <w:rPr>
                <w:noProof/>
              </w:rPr>
              <w:fldChar w:fldCharType="separate"/>
            </w:r>
            <w:r>
              <w:rPr>
                <w:noProof/>
              </w:rPr>
              <w:t>1</w:t>
            </w:r>
            <w:r>
              <w:rPr>
                <w:noProof/>
              </w:rPr>
              <w:fldChar w:fldCharType="end"/>
            </w:r>
          </w:hyperlink>
        </w:p>
        <w:p w14:paraId="54E68F3A" w14:textId="77777777" w:rsidR="00E5030D" w:rsidRDefault="00E5030D">
          <w:pPr>
            <w:pStyle w:val="TDC2"/>
            <w:tabs>
              <w:tab w:val="right" w:leader="dot" w:pos="9350"/>
            </w:tabs>
            <w:rPr>
              <w:noProof/>
            </w:rPr>
          </w:pPr>
          <w:hyperlink w:anchor="_Toc233752763" w:history="1">
            <w:r>
              <w:rPr>
                <w:rStyle w:val="Hipervnculo"/>
                <w:noProof/>
              </w:rPr>
              <w:t>7.4. Limitaciones identificadas</w:t>
            </w:r>
            <w:r>
              <w:rPr>
                <w:noProof/>
              </w:rPr>
              <w:tab/>
            </w:r>
            <w:r>
              <w:rPr>
                <w:noProof/>
              </w:rPr>
              <w:fldChar w:fldCharType="begin"/>
            </w:r>
            <w:r>
              <w:rPr>
                <w:noProof/>
              </w:rPr>
              <w:instrText xml:space="preserve"> PAGEREF _Toc233752763 \h </w:instrText>
            </w:r>
            <w:r>
              <w:rPr>
                <w:noProof/>
              </w:rPr>
            </w:r>
            <w:r>
              <w:rPr>
                <w:noProof/>
              </w:rPr>
              <w:fldChar w:fldCharType="separate"/>
            </w:r>
            <w:r>
              <w:rPr>
                <w:noProof/>
              </w:rPr>
              <w:t>1</w:t>
            </w:r>
            <w:r>
              <w:rPr>
                <w:noProof/>
              </w:rPr>
              <w:fldChar w:fldCharType="end"/>
            </w:r>
          </w:hyperlink>
        </w:p>
        <w:p w14:paraId="2C117CDD" w14:textId="77777777" w:rsidR="00E5030D" w:rsidRDefault="00E5030D">
          <w:pPr>
            <w:pStyle w:val="TDC2"/>
            <w:tabs>
              <w:tab w:val="right" w:leader="dot" w:pos="9350"/>
            </w:tabs>
            <w:rPr>
              <w:noProof/>
            </w:rPr>
          </w:pPr>
          <w:hyperlink w:anchor="_Toc233752764" w:history="1">
            <w:r>
              <w:rPr>
                <w:rStyle w:val="Hipervnculo"/>
                <w:noProof/>
              </w:rPr>
              <w:t>7.5. Futuras líneas de mejora y/o desarrollo</w:t>
            </w:r>
            <w:r>
              <w:rPr>
                <w:noProof/>
              </w:rPr>
              <w:tab/>
            </w:r>
            <w:r>
              <w:rPr>
                <w:noProof/>
              </w:rPr>
              <w:fldChar w:fldCharType="begin"/>
            </w:r>
            <w:r>
              <w:rPr>
                <w:noProof/>
              </w:rPr>
              <w:instrText xml:space="preserve"> PAGEREF _Toc233752764 \h </w:instrText>
            </w:r>
            <w:r>
              <w:rPr>
                <w:noProof/>
              </w:rPr>
            </w:r>
            <w:r>
              <w:rPr>
                <w:noProof/>
              </w:rPr>
              <w:fldChar w:fldCharType="separate"/>
            </w:r>
            <w:r>
              <w:rPr>
                <w:noProof/>
              </w:rPr>
              <w:t>1</w:t>
            </w:r>
            <w:r>
              <w:rPr>
                <w:noProof/>
              </w:rPr>
              <w:fldChar w:fldCharType="end"/>
            </w:r>
          </w:hyperlink>
        </w:p>
        <w:p w14:paraId="35EFE721" w14:textId="77777777" w:rsidR="00E5030D" w:rsidRDefault="00E5030D">
          <w:pPr>
            <w:pStyle w:val="TDC1"/>
            <w:tabs>
              <w:tab w:val="right" w:leader="dot" w:pos="9350"/>
            </w:tabs>
            <w:rPr>
              <w:noProof/>
            </w:rPr>
          </w:pPr>
          <w:hyperlink w:anchor="_Toc233752765" w:history="1">
            <w:r>
              <w:rPr>
                <w:rStyle w:val="Hipervnculo"/>
                <w:noProof/>
              </w:rPr>
              <w:t>8. Anexos</w:t>
            </w:r>
            <w:r>
              <w:rPr>
                <w:noProof/>
              </w:rPr>
              <w:tab/>
            </w:r>
            <w:r>
              <w:rPr>
                <w:noProof/>
              </w:rPr>
              <w:fldChar w:fldCharType="begin"/>
            </w:r>
            <w:r>
              <w:rPr>
                <w:noProof/>
              </w:rPr>
              <w:instrText xml:space="preserve"> PAGEREF _Toc233752765 \h </w:instrText>
            </w:r>
            <w:r>
              <w:rPr>
                <w:noProof/>
              </w:rPr>
            </w:r>
            <w:r>
              <w:rPr>
                <w:noProof/>
              </w:rPr>
              <w:fldChar w:fldCharType="separate"/>
            </w:r>
            <w:r>
              <w:rPr>
                <w:noProof/>
              </w:rPr>
              <w:t>1</w:t>
            </w:r>
            <w:r>
              <w:rPr>
                <w:noProof/>
              </w:rPr>
              <w:fldChar w:fldCharType="end"/>
            </w:r>
          </w:hyperlink>
        </w:p>
        <w:p w14:paraId="4F82A358" w14:textId="77777777" w:rsidR="007C0893" w:rsidRDefault="00000000">
          <w:r>
            <w:fldChar w:fldCharType="end"/>
          </w:r>
        </w:p>
      </w:sdtContent>
    </w:sdt>
    <w:p w14:paraId="61C1564F" w14:textId="77777777" w:rsidR="007C0893" w:rsidRDefault="00000000" w:rsidP="0036647B">
      <w:pPr>
        <w:pStyle w:val="Ttulo1"/>
        <w:ind w:left="708" w:hanging="708"/>
      </w:pPr>
      <w:bookmarkStart w:id="0" w:name="_Toc233752735"/>
      <w:r>
        <w:lastRenderedPageBreak/>
        <w:t>1. Resumen</w:t>
      </w:r>
      <w:bookmarkEnd w:id="0"/>
    </w:p>
    <w:p w14:paraId="511911C1" w14:textId="77777777" w:rsidR="007C0893" w:rsidRDefault="00000000">
      <w:pPr>
        <w:spacing w:after="160" w:line="276" w:lineRule="auto"/>
        <w:jc w:val="both"/>
      </w:pPr>
      <w:r>
        <w:t>Madrid produce datos en tiempo real de forma continua a través de su red de sensores de tráfico, sus sistemas de transporte público y bicicleta compartida, sus estaciones de calidad del aire y de ruido, y la información meteorológica y de contexto urbano publicada como datos abiertos. Sin embargo, estas fuentes viven aisladas: ninguna plataforma las integra, las procesa en tiempo real y las convierte en una decisión accionable para el ciudadano.</w:t>
      </w:r>
    </w:p>
    <w:p w14:paraId="49CAF905" w14:textId="09B82217" w:rsidR="007C0893" w:rsidRDefault="00000000">
      <w:pPr>
        <w:spacing w:after="160" w:line="276" w:lineRule="auto"/>
        <w:jc w:val="both"/>
      </w:pPr>
      <w:proofErr w:type="spellStart"/>
      <w:proofErr w:type="spellEnd"/>
      <w:proofErr w:type="spellStart"/>
      <w:proofErr w:type="spellEnd"/>
      <w:proofErr w:type="spellStart"/>
      <w:proofErr w:type="spellEnd"/>
      <w:r>
        <w:t>Este Trabajo Fin de Máster construye esa plataforma, denominada comercialmente «Madroño». Se trata de un sistema de inteligencia urbana en tiempo real que unifica fuentes programadas y de referencia mediante una arquitectura de ingeniería de datos extremo a extremo (ingesta serverless en AWS, lakehouse medallón, AWS Glue como motor de procesamiento distribuido y prácticas MLOps), modela la ciudad como un grafo y responde, en lenguaje natural, a una pregunta cotidiana: ¿merece la pena ir a un lugar determinado en un momento concreto? La respuesta no es un dato crudo, sino una recomendación acompañada de un nivel de fiabilidad y de una explicación trazable a los datos que la sustentan.</w:t>
      </w:r>
    </w:p>
    <w:p w14:paraId="0AC021D7" w14:textId="214791B9" w:rsidR="007C0893" w:rsidRDefault="00000000">
      <w:pPr>
        <w:spacing w:after="160" w:line="276" w:lineRule="auto"/>
        <w:jc w:val="both"/>
      </w:pPr>
      <w:r>
        <w:t>Toda la solución se desarrolla con datos públicos y software libre a coste cero. Las fuentes europeas de cobertura continental se emplean como enriquecimiento y como base para extender el enfoque a ciudades de características similares a Madrid.</w:t>
      </w:r>
    </w:p>
    <w:p w14:paraId="07DEF399" w14:textId="77777777" w:rsidR="007C0893" w:rsidRDefault="00000000">
      <w:pPr>
        <w:pStyle w:val="Ttulo1"/>
      </w:pPr>
      <w:bookmarkStart w:id="1" w:name="_Toc233752736"/>
      <w:r>
        <w:lastRenderedPageBreak/>
        <w:t>2. Palabras clave</w:t>
      </w:r>
      <w:bookmarkEnd w:id="1"/>
    </w:p>
    <w:p w14:paraId="0F33FACB" w14:textId="77777777" w:rsidR="007C0893" w:rsidRDefault="00000000">
      <w:pPr>
        <w:spacing w:after="160" w:line="276" w:lineRule="auto"/>
        <w:jc w:val="both"/>
      </w:pPr>
      <w:proofErr w:type="spellStart"/>
      <w:proofErr w:type="spellEnd"/>
      <w:proofErr w:type="spellStart"/>
      <w:proofErr w:type="spellEnd"/>
      <w:proofErr w:type="spellStart"/>
      <w:proofErr w:type="spellEnd"/>
      <w:proofErr w:type="spellStart"/>
      <w:proofErr w:type="spellEnd"/>
      <w:r>
        <w:t>Ingeniería de datos; ingesta serverless; lakehouse medallón; datos abiertos; ciudad inteligente; grafo urbano; redes neuronales de grafos; MLOps; modelos de lenguaje; asistente conversacional; explicabilidad; Madrid.</w:t>
      </w:r>
    </w:p>
    <w:p w14:paraId="5828F8CA" w14:textId="77777777" w:rsidR="007C0893" w:rsidRDefault="00000000">
      <w:pPr>
        <w:pStyle w:val="Ttulo1"/>
      </w:pPr>
      <w:bookmarkStart w:id="2" w:name="_Toc233752737"/>
      <w:r>
        <w:lastRenderedPageBreak/>
        <w:t>3. Introducción</w:t>
      </w:r>
      <w:bookmarkEnd w:id="2"/>
    </w:p>
    <w:p w14:paraId="36DD3C51" w14:textId="77777777" w:rsidR="007C0893" w:rsidRDefault="00000000">
      <w:pPr>
        <w:pStyle w:val="Ttulo2"/>
      </w:pPr>
      <w:bookmarkStart w:id="3" w:name="_Toc233752738"/>
      <w:r>
        <w:t>3.1. Contextualización del proyecto</w:t>
      </w:r>
      <w:bookmarkEnd w:id="3"/>
    </w:p>
    <w:p w14:paraId="605FCE95" w14:textId="77777777" w:rsidR="007C0893" w:rsidRDefault="00000000">
      <w:pPr>
        <w:spacing w:after="160" w:line="276" w:lineRule="auto"/>
        <w:jc w:val="both"/>
      </w:pPr>
      <w:r>
        <w:t>La ciudad de Madrid es uno de los entornos urbanos con mayor densidad de datos abiertos de Europa. El Ayuntamiento y otros organismos publican en tiempo casi real el estado de la movilidad, la calidad del aire, el ruido y la meteorología, además de una extensa información estática de contexto (callejero, red de transporte, edificación, demografía). Pese a esta riqueza, el ciudadano no dispone de una herramienta que combine todas estas señales y le indique, de forma sencilla, si el plan que tiene en mente es buena idea en este momento.</w:t>
      </w:r>
    </w:p>
    <w:p w14:paraId="56851E31" w14:textId="77777777" w:rsidR="007C0893" w:rsidRDefault="00000000">
      <w:pPr>
        <w:spacing w:after="160" w:line="276" w:lineRule="auto"/>
        <w:jc w:val="both"/>
      </w:pPr>
      <w:r>
        <w:t>El problema es, en esencia, de integración y de tiempo real. Cada fuente tiene su propio formato, frecuencia de actualización y semántica, y ninguna se cruza con las demás. Convertir ese conjunto disperso en conocimiento útil exige una plataforma de ingeniería de datos capaz de ingerir, validar, fusionar y explotar señales heterogéneas con baja latencia, y de exponer el resultado de una manera que cualquier persona pueda consultar.</w:t>
      </w:r>
    </w:p>
    <w:p w14:paraId="4BE42580" w14:textId="77777777" w:rsidR="007C0893" w:rsidRDefault="00000000">
      <w:pPr>
        <w:pStyle w:val="Ttulo2"/>
      </w:pPr>
      <w:bookmarkStart w:id="4" w:name="_Toc233752739"/>
      <w:r>
        <w:t>3.2. Objetivos del proyecto</w:t>
      </w:r>
      <w:bookmarkEnd w:id="4"/>
    </w:p>
    <w:p w14:paraId="0A7F8854" w14:textId="77777777" w:rsidR="007C0893" w:rsidRDefault="00000000">
      <w:pPr>
        <w:spacing w:after="160" w:line="276" w:lineRule="auto"/>
        <w:jc w:val="both"/>
      </w:pPr>
      <w:r>
        <w:rPr>
          <w:b/>
          <w:bCs/>
        </w:rPr>
        <w:t xml:space="preserve">Objetivo general. </w:t>
      </w:r>
      <w:r>
        <w:t>Diseñar e implementar una plataforma de inteligencia urbana en tiempo real que, a partir de datos abiertos de Madrid, recomiende a un usuario si merece la pena desplazarse a un lugar en una ventana temporal dada, con una recomendación explicada y cuantificada en fiabilidad.</w:t>
      </w:r>
    </w:p>
    <w:p w14:paraId="599DB669" w14:textId="77777777" w:rsidR="007C0893" w:rsidRDefault="00000000">
      <w:pPr>
        <w:spacing w:after="160" w:line="276" w:lineRule="auto"/>
        <w:jc w:val="both"/>
      </w:pPr>
      <w:r>
        <w:t>Objetivos específicos:</w:t>
      </w:r>
    </w:p>
    <w:p w14:paraId="126BC751" w14:textId="77777777" w:rsidR="007C0893" w:rsidRDefault="00000000">
      <w:pPr>
        <w:pStyle w:val="Prrafodelista"/>
        <w:numPr>
          <w:ilvl w:val="0"/>
          <w:numId w:val="2"/>
        </w:numPr>
        <w:spacing w:after="60" w:line="268" w:lineRule="auto"/>
        <w:jc w:val="both"/>
      </w:pPr>
      <w:proofErr w:type="spellStart"/>
      <w:proofErr w:type="spellEnd"/>
      <w:r>
        <w:t>Implementar una capa de ingesta unificada que combine fuentes programadas y de referencia bajo esquemas controlados.</w:t>
      </w:r>
    </w:p>
    <w:p w14:paraId="4BCA3ADA" w14:textId="77777777" w:rsidR="007C0893" w:rsidRDefault="00000000">
      <w:pPr>
        <w:pStyle w:val="Prrafodelista"/>
        <w:numPr>
          <w:ilvl w:val="0"/>
          <w:numId w:val="2"/>
        </w:numPr>
        <w:spacing w:after="60" w:line="268" w:lineRule="auto"/>
        <w:jc w:val="both"/>
      </w:pPr>
      <w:r>
        <w:t xml:space="preserve">Construir un </w:t>
      </w:r>
      <w:proofErr w:type="spellStart"/>
      <w:r>
        <w:t>lakehouse</w:t>
      </w:r>
      <w:proofErr w:type="spellEnd"/>
      <w:r>
        <w:t xml:space="preserve"> medallón (Bronze/Silver/Gold) con controles de calidad de datos en cada transición.</w:t>
      </w:r>
    </w:p>
    <w:p w14:paraId="2840A187" w14:textId="77777777" w:rsidR="007C0893" w:rsidRDefault="00000000">
      <w:pPr>
        <w:pStyle w:val="Prrafodelista"/>
        <w:numPr>
          <w:ilvl w:val="0"/>
          <w:numId w:val="2"/>
        </w:numPr>
        <w:spacing w:after="60" w:line="268" w:lineRule="auto"/>
        <w:jc w:val="both"/>
      </w:pPr>
      <w:r>
        <w:t>Implementar controles de validación y consistencia entre fuentes que garanticen la fiabilidad de las predicciones.</w:t>
      </w:r>
    </w:p>
    <w:p w14:paraId="528173D6" w14:textId="77777777" w:rsidR="007C0893" w:rsidRDefault="00000000">
      <w:pPr>
        <w:pStyle w:val="Prrafodelista"/>
        <w:numPr>
          <w:ilvl w:val="0"/>
          <w:numId w:val="2"/>
        </w:numPr>
        <w:spacing w:after="60" w:line="268" w:lineRule="auto"/>
        <w:jc w:val="both"/>
      </w:pPr>
      <w:r>
        <w:t>Modelar la ciudad como un grafo y entrenar modelos predictivos de afluencia, congestión y calidad del aire.</w:t>
      </w:r>
    </w:p>
    <w:p w14:paraId="4B45B0A2" w14:textId="77777777" w:rsidR="007C0893" w:rsidRDefault="00000000">
      <w:pPr>
        <w:pStyle w:val="Prrafodelista"/>
        <w:numPr>
          <w:ilvl w:val="0"/>
          <w:numId w:val="2"/>
        </w:numPr>
        <w:spacing w:after="60" w:line="268" w:lineRule="auto"/>
        <w:jc w:val="both"/>
      </w:pPr>
      <w:r>
        <w:t>Desarrollar el asistente conversacional, garantizando que sus respuestas son fieles a los datos y explicables.</w:t>
      </w:r>
    </w:p>
    <w:p w14:paraId="4B96132A" w14:textId="77777777" w:rsidR="007C0893" w:rsidRDefault="00000000">
      <w:pPr>
        <w:pStyle w:val="Prrafodelista"/>
        <w:numPr>
          <w:ilvl w:val="0"/>
          <w:numId w:val="2"/>
        </w:numPr>
        <w:spacing w:after="60" w:line="268" w:lineRule="auto"/>
        <w:jc w:val="both"/>
      </w:pPr>
      <w:r>
        <w:t>Lograr todo lo anterior a coste cero y sentar las bases para extender el enfoque a ciudades europeas similares mediante enriquecimiento de datos.</w:t>
      </w:r>
    </w:p>
    <w:p w14:paraId="576A03B4" w14:textId="77777777" w:rsidR="007C0893" w:rsidRDefault="00000000">
      <w:pPr>
        <w:pStyle w:val="Ttulo2"/>
      </w:pPr>
      <w:bookmarkStart w:id="5" w:name="_Toc233752740"/>
      <w:r>
        <w:t>3.3. Justificación e interés</w:t>
      </w:r>
      <w:bookmarkEnd w:id="5"/>
    </w:p>
    <w:p w14:paraId="191CFB3E" w14:textId="77777777" w:rsidR="007C0893" w:rsidRDefault="00000000">
      <w:pPr>
        <w:spacing w:after="160" w:line="276" w:lineRule="auto"/>
        <w:jc w:val="both"/>
      </w:pPr>
      <w:r>
        <w:t xml:space="preserve">El interés del proyecto es doble. Desde el punto de vista del ciudadano y de la administración, aporta una capa de decisión que hoy no existe: anticipar aglomeraciones, evitar episodios de mala calidad del aire y optimizar desplazamientos. Desde el punto de vista de la ingeniería de datos, integra de forma coherente las competencias del máster —ingesta en tiempo real, </w:t>
      </w:r>
      <w:r>
        <w:lastRenderedPageBreak/>
        <w:t xml:space="preserve">almacenamiento en la nube, procesamiento distribuido y </w:t>
      </w:r>
      <w:proofErr w:type="spellStart"/>
      <w:r>
        <w:t>MLOps</w:t>
      </w:r>
      <w:proofErr w:type="spellEnd"/>
      <w:r>
        <w:t>— en un caso de uso realista y verificable.</w:t>
      </w:r>
    </w:p>
    <w:p w14:paraId="07DF2DC1" w14:textId="77777777" w:rsidR="007C0893" w:rsidRDefault="00000000">
      <w:pPr>
        <w:spacing w:after="160" w:line="276" w:lineRule="auto"/>
        <w:jc w:val="both"/>
      </w:pPr>
      <w:r>
        <w:t>La originalidad reside en la fusión de señales heterogéneas en un grafo urbano y en una capa conversacional explicable que traduce ese conocimiento en una recomendación accionable, lo que distingue el proyecto de un cuadro de mando convencional de ciudad inteligente.</w:t>
      </w:r>
    </w:p>
    <w:p w14:paraId="17EAE962" w14:textId="77777777" w:rsidR="007C0893" w:rsidRDefault="00000000">
      <w:pPr>
        <w:pStyle w:val="Ttulo1"/>
      </w:pPr>
      <w:bookmarkStart w:id="6" w:name="_Toc233752741"/>
      <w:r>
        <w:lastRenderedPageBreak/>
        <w:t>4. Metodología</w:t>
      </w:r>
      <w:bookmarkEnd w:id="6"/>
    </w:p>
    <w:p w14:paraId="2A0804C8" w14:textId="77777777" w:rsidR="007C0893" w:rsidRDefault="00000000">
      <w:pPr>
        <w:pStyle w:val="Ttulo2"/>
      </w:pPr>
      <w:bookmarkStart w:id="7" w:name="_Toc233752742"/>
      <w:r>
        <w:t>4.1. Diseño general del proyecto</w:t>
      </w:r>
      <w:bookmarkEnd w:id="7"/>
    </w:p>
    <w:p w14:paraId="10AC3EA2" w14:textId="77777777" w:rsidR="007C0893" w:rsidRDefault="00000000">
      <w:pPr>
        <w:spacing w:after="160" w:line="276" w:lineRule="auto"/>
        <w:jc w:val="both"/>
      </w:pPr>
      <w:proofErr w:type="spellStart"/>
      <w:proofErr w:type="spellEnd"/>
      <w:proofErr w:type="spellStart"/>
      <w:proofErr w:type="spellEnd"/>
      <w:r>
        <w:t>La plataforma se concibió con una arquitectura de tipo lambda sobre un lakehouse medallón, con una ruta caliente para eventos en streaming y una ruta fría para el histórico y el entrenamiento. En la implementación final solo se construyó la ruta fría: la ruta caliente en streaming queda como futura línea (véase 7.5), y el «estado reciente» de cada señal es, en la práctica, la última agregación horaria de la capa Gold. Sobre esa capa Gold se construye un grafo urbano que relaciona lugares, estaciones de medida y conexiones de transporte, y que constituye el sustrato de conocimiento que consultan tanto el asistente como los modelos predictivos.</w:t>
      </w:r>
    </w:p>
    <w:p w14:paraId="3AEB7563" w14:textId="77777777" w:rsidR="007C0893" w:rsidRDefault="00000000">
      <w:pPr>
        <w:spacing w:after="160" w:line="276" w:lineRule="auto"/>
        <w:jc w:val="both"/>
      </w:pPr>
      <w:r>
        <w:t>El sistema se concibe como un bucle cerrado y situado: la ciudad genera datos, la plataforma los procesa y predice, el asistente recomienda, el usuario actúa, y ese movimiento vuelve a ser observado por la propia red de sensores de la ciudad. No es un lazo de control sobre la ciudad, sino un ciclo de observación-decisión que se realimenta.</w:t>
      </w:r>
    </w:p>
    <w:p>
      <w:pPr/>
      <w:r>
        <w:t>Ese bucle se materializa de forma concreta en la tool `calidad_aire_prevista` del asistente: parte de la última observación real de la capa Gold, corre un modelo entrenado sobre el histórico servido en formato ONNX, y devuelve una previsión anclada al dato real más reciente, con su fiabilidad degradada explícitamente si faltan lecturas recientes — observación, predicción y respuesta al usuario, cerrando el ciclo descrito arriba (véase 6.7).</w:t>
      </w:r>
    </w:p>
    <w:p w14:paraId="76033B11" w14:textId="77777777" w:rsidR="007C0893" w:rsidRDefault="00000000">
      <w:pPr>
        <w:pStyle w:val="Ttulo2"/>
      </w:pPr>
      <w:bookmarkStart w:id="8" w:name="_Toc233752743"/>
      <w:r>
        <w:t>4.2. Proceso de trabajo y fases (planificación)</w:t>
      </w:r>
      <w:bookmarkEnd w:id="8"/>
    </w:p>
    <w:p w14:paraId="74FDEECA" w14:textId="77777777" w:rsidR="007C0893" w:rsidRDefault="00000000">
      <w:pPr>
        <w:spacing w:after="160" w:line="276" w:lineRule="auto"/>
        <w:jc w:val="both"/>
      </w:pPr>
      <w:r>
        <w:t>El desarrollo sigue una metodología iterativa e incremental, organizada en cinco fases con entregables verificables. Se prioriza un núcleo sólido y evaluable antes de añadir capacidades de ampliación, de modo que el proyecto sea defendible incluso si las fases finales se acotan.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7C0893" w14:paraId="2077F3FE"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DCE3EF"/>
            <w:tcMar>
              <w:top w:w="60" w:type="dxa"/>
              <w:left w:w="110" w:type="dxa"/>
              <w:bottom w:w="60" w:type="dxa"/>
              <w:right w:w="110" w:type="dxa"/>
            </w:tcMar>
            <w:vAlign w:val="center"/>
          </w:tcPr>
          <w:p w14:paraId="4CBE9FB6" w14:textId="77777777" w:rsidR="007C0893" w:rsidRDefault="00000000">
            <w:pPr>
              <w:spacing w:line="252" w:lineRule="auto"/>
            </w:pPr>
            <w:r>
              <w:rPr>
                <w:b/>
                <w:bCs/>
                <w:color w:val="1F497D"/>
                <w:sz w:val="20"/>
                <w:szCs w:val="20"/>
              </w:rPr>
              <w:t>Fase</w:t>
            </w:r>
          </w:p>
        </w:tc>
        <w:tc>
          <w:tcPr>
            <w:tcW w:w="4360" w:type="dxa"/>
            <w:tcBorders>
              <w:top w:val="single" w:sz="1" w:space="0" w:color="BBBBBB"/>
              <w:left w:val="single" w:sz="1" w:space="0" w:color="BBBBBB"/>
              <w:bottom w:val="single" w:sz="1" w:space="0" w:color="BBBBBB"/>
              <w:right w:val="single" w:sz="1" w:space="0" w:color="BBBBBB"/>
            </w:tcBorders>
            <w:shd w:val="clear" w:color="auto" w:fill="DCE3EF"/>
            <w:tcMar>
              <w:top w:w="60" w:type="dxa"/>
              <w:left w:w="110" w:type="dxa"/>
              <w:bottom w:w="60" w:type="dxa"/>
              <w:right w:w="110" w:type="dxa"/>
            </w:tcMar>
            <w:vAlign w:val="center"/>
          </w:tcPr>
          <w:p w14:paraId="4801EB59" w14:textId="77777777" w:rsidR="007C0893" w:rsidRDefault="00000000">
            <w:pPr>
              <w:spacing w:line="252" w:lineRule="auto"/>
            </w:pPr>
            <w:r>
              <w:rPr>
                <w:b/>
                <w:bCs/>
                <w:color w:val="1F497D"/>
                <w:sz w:val="20"/>
                <w:szCs w:val="20"/>
              </w:rPr>
              <w:t>Objetivo</w:t>
            </w:r>
          </w:p>
        </w:tc>
        <w:tc>
          <w:tcPr>
            <w:tcW w:w="3500" w:type="dxa"/>
            <w:tcBorders>
              <w:top w:val="single" w:sz="1" w:space="0" w:color="BBBBBB"/>
              <w:left w:val="single" w:sz="1" w:space="0" w:color="BBBBBB"/>
              <w:bottom w:val="single" w:sz="1" w:space="0" w:color="BBBBBB"/>
              <w:right w:val="single" w:sz="1" w:space="0" w:color="BBBBBB"/>
            </w:tcBorders>
            <w:shd w:val="clear" w:color="auto" w:fill="DCE3EF"/>
            <w:tcMar>
              <w:top w:w="60" w:type="dxa"/>
              <w:left w:w="110" w:type="dxa"/>
              <w:bottom w:w="60" w:type="dxa"/>
              <w:right w:w="110" w:type="dxa"/>
            </w:tcMar>
            <w:vAlign w:val="center"/>
          </w:tcPr>
          <w:p w14:paraId="0CAE9432" w14:textId="77777777" w:rsidR="007C0893" w:rsidRDefault="00000000">
            <w:pPr>
              <w:spacing w:line="252" w:lineRule="auto"/>
            </w:pPr>
            <w:r>
              <w:rPr>
                <w:b/>
                <w:bCs/>
                <w:color w:val="1F497D"/>
                <w:sz w:val="20"/>
                <w:szCs w:val="20"/>
              </w:rPr>
              <w:t>Entregable</w:t>
            </w:r>
          </w:p>
        </w:tc>
      </w:tr>
      <w:tr w:rsidR="007C0893" w14:paraId="3AC65379"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4D82919" w14:textId="77777777" w:rsidR="007C0893" w:rsidRDefault="00000000">
            <w:pPr>
              <w:spacing w:line="252" w:lineRule="auto"/>
            </w:pPr>
            <w:r>
              <w:rPr>
                <w:sz w:val="20"/>
                <w:szCs w:val="20"/>
              </w:rPr>
              <w:t>1. Ingesta</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3AD650B" w14:textId="77777777" w:rsidR="007C0893" w:rsidRDefault="00000000">
            <w:pPr>
              <w:spacing w:line="252" w:lineRule="auto"/>
            </w:pPr>
            <w:proofErr w:type="spellStart"/>
            <w:proofErr w:type="spellEnd"/>
            <w:r>
              <w:t>Productores serverless (AWS Lambda) y lakehouse Bronze/Silver</w:t>
            </w:r>
          </w:p>
        </w:tc>
        <w:tc>
          <w:tcPr>
            <w:tcW w:w="3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E0A4359" w14:textId="77777777" w:rsidR="007C0893" w:rsidRDefault="00000000">
            <w:pPr>
              <w:spacing w:line="252" w:lineRule="auto"/>
            </w:pPr>
            <w:r>
              <w:rPr>
                <w:sz w:val="20"/>
                <w:szCs w:val="20"/>
              </w:rPr>
              <w:t>Pipeline de ingesta operativo</w:t>
            </w:r>
          </w:p>
        </w:tc>
      </w:tr>
      <w:tr w:rsidR="007C0893" w14:paraId="3AC6E103"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57D0DE4" w14:textId="77777777" w:rsidR="007C0893" w:rsidRDefault="00000000">
            <w:pPr>
              <w:spacing w:line="252" w:lineRule="auto"/>
            </w:pPr>
            <w:r>
              <w:rPr>
                <w:sz w:val="20"/>
                <w:szCs w:val="20"/>
              </w:rPr>
              <w:t>2. Validación de datos</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98AC1DE" w14:textId="77777777" w:rsidR="007C0893" w:rsidRDefault="00000000">
            <w:pPr>
              <w:spacing w:line="252" w:lineRule="auto"/>
            </w:pPr>
            <w:r>
              <w:rPr>
                <w:sz w:val="20"/>
                <w:szCs w:val="20"/>
              </w:rPr>
              <w:t>Contraste entre fuentes y control de calidad</w:t>
            </w:r>
          </w:p>
        </w:tc>
        <w:tc>
          <w:tcPr>
            <w:tcW w:w="3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B3C138D" w14:textId="77777777" w:rsidR="007C0893" w:rsidRDefault="00000000">
            <w:pPr>
              <w:spacing w:line="252" w:lineRule="auto"/>
            </w:pPr>
            <w:r>
              <w:rPr>
                <w:sz w:val="20"/>
                <w:szCs w:val="20"/>
              </w:rPr>
              <w:t>Informe de consistencia de datos</w:t>
            </w:r>
          </w:p>
        </w:tc>
      </w:tr>
      <w:tr w:rsidR="007C0893" w14:paraId="0EDE6678"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AB3134B" w14:textId="77777777" w:rsidR="007C0893" w:rsidRDefault="00000000">
            <w:pPr>
              <w:spacing w:line="252" w:lineRule="auto"/>
            </w:pPr>
            <w:r>
              <w:rPr>
                <w:sz w:val="20"/>
                <w:szCs w:val="20"/>
              </w:rPr>
              <w:t>3. Grafo y predicción</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2F810F8" w14:textId="77777777" w:rsidR="007C0893" w:rsidRDefault="00000000">
            <w:pPr>
              <w:spacing w:line="252" w:lineRule="auto"/>
            </w:pPr>
            <w:r>
              <w:rPr>
                <w:sz w:val="20"/>
                <w:szCs w:val="20"/>
              </w:rPr>
              <w:t>Grafo urbano y modelos sobre capa Gold</w:t>
            </w:r>
          </w:p>
        </w:tc>
        <w:tc>
          <w:tcPr>
            <w:tcW w:w="3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1AFC326" w14:textId="77777777" w:rsidR="007C0893" w:rsidRDefault="00000000">
            <w:pPr>
              <w:spacing w:line="252" w:lineRule="auto"/>
            </w:pPr>
            <w:r>
              <w:rPr>
                <w:sz w:val="20"/>
                <w:szCs w:val="20"/>
              </w:rPr>
              <w:t>Modelos que baten la línea base</w:t>
            </w:r>
          </w:p>
        </w:tc>
      </w:tr>
      <w:tr w:rsidR="007C0893" w14:paraId="2EBE224D"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50DBF06" w14:textId="77777777" w:rsidR="007C0893" w:rsidRDefault="00000000">
            <w:pPr>
              <w:spacing w:line="252" w:lineRule="auto"/>
            </w:pPr>
            <w:r>
              <w:rPr>
                <w:sz w:val="20"/>
                <w:szCs w:val="20"/>
              </w:rPr>
              <w:t>4. Asistente</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B65E9D8" w14:textId="77777777" w:rsidR="007C0893" w:rsidRDefault="00000000">
            <w:pPr>
              <w:spacing w:line="252" w:lineRule="auto"/>
            </w:pPr>
            <w:r>
              <w:rPr>
                <w:sz w:val="20"/>
                <w:szCs w:val="20"/>
              </w:rPr>
              <w:t>Capa conversacional con fiabilidad</w:t>
            </w:r>
          </w:p>
        </w:tc>
        <w:tc>
          <w:tcPr>
            <w:tcW w:w="3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FC90B2B" w14:textId="77777777" w:rsidR="007C0893" w:rsidRDefault="00000000">
            <w:pPr>
              <w:spacing w:line="252" w:lineRule="auto"/>
            </w:pPr>
            <w:r>
              <w:rPr>
                <w:sz w:val="20"/>
                <w:szCs w:val="20"/>
              </w:rPr>
              <w:t>Demostrador de «¿voy o no?»</w:t>
            </w:r>
          </w:p>
        </w:tc>
      </w:tr>
      <w:tr w:rsidR="007C0893" w14:paraId="12A1A541"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F36A7DB" w14:textId="77777777" w:rsidR="007C0893" w:rsidRDefault="00000000">
            <w:pPr>
              <w:spacing w:line="252" w:lineRule="auto"/>
            </w:pPr>
            <w:r>
              <w:rPr>
                <w:sz w:val="20"/>
                <w:szCs w:val="20"/>
              </w:rPr>
              <w:t>5. Ampliación</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ED26C20" w14:textId="77777777" w:rsidR="007C0893" w:rsidRDefault="00000000">
            <w:pPr>
              <w:spacing w:line="252" w:lineRule="auto"/>
            </w:pPr>
            <w:r>
              <w:t>Enriquecimiento europeo (CAMS) y modelado predictivo avanzado</w:t>
            </w:r>
          </w:p>
        </w:tc>
        <w:tc>
          <w:tcPr>
            <w:tcW w:w="3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98AF338" w14:textId="77777777" w:rsidR="007C0893" w:rsidRDefault="00000000">
            <w:pPr>
              <w:spacing w:line="252" w:lineRule="auto"/>
            </w:pPr>
            <w:r>
              <w:t>Forecasters LightGBM y GNN espacio-temporal, con explicabilidad</w:t>
            </w:r>
          </w:p>
        </w:tc>
      </w:tr>
    </w:tbl>
    <w:p w14:paraId="5E4D7665" w14:textId="77777777" w:rsidR="007C0893" w:rsidRDefault="00000000">
      <w:pPr>
        <w:spacing w:before="80" w:after="200"/>
        <w:jc w:val="center"/>
      </w:pPr>
      <w:r>
        <w:rPr>
          <w:i/>
          <w:iCs/>
          <w:color w:val="595959"/>
          <w:sz w:val="18"/>
          <w:szCs w:val="18"/>
        </w:rPr>
        <w:t>Tabla 1. Fases del proyecto y entregables asociados.</w:t>
      </w:r>
    </w:p>
    <w:p w14:paraId="5CC3DAFB" w14:textId="77777777" w:rsidR="007C0893" w:rsidRDefault="00000000">
      <w:pPr>
        <w:pStyle w:val="Ttulo1"/>
      </w:pPr>
      <w:bookmarkStart w:id="9" w:name="_Toc233752744"/>
      <w:r>
        <w:lastRenderedPageBreak/>
        <w:t>5. Arquitectura</w:t>
      </w:r>
      <w:bookmarkEnd w:id="9"/>
    </w:p>
    <w:p w14:paraId="60B4A44D" w14:textId="77777777" w:rsidR="007C0893" w:rsidRDefault="00000000">
      <w:pPr>
        <w:pStyle w:val="Ttulo2"/>
      </w:pPr>
      <w:bookmarkStart w:id="10" w:name="_Toc233752745"/>
      <w:r>
        <w:t>5.1. Diagrama general</w:t>
      </w:r>
      <w:bookmarkEnd w:id="10"/>
    </w:p>
    <w:p w14:paraId="0D100501" w14:textId="77777777" w:rsidR="007C0893" w:rsidRDefault="00000000">
      <w:pPr>
        <w:spacing w:after="160" w:line="276" w:lineRule="auto"/>
        <w:jc w:val="both"/>
      </w:pPr>
      <w:r>
        <w:t xml:space="preserve">La Figura 1 resume la </w:t>
      </w:r>
      <w:proofErr w:type="gramStart"/>
      <w:r>
        <w:t>arquitectura extremo</w:t>
      </w:r>
      <w:proofErr w:type="gramEnd"/>
      <w:r>
        <w:t xml:space="preserve"> a extremo, desde las fuentes hasta la capa de explotación donde reside el asistente.</w:t>
      </w:r>
    </w:p>
    <w:p w14:paraId="3A9CA179" w14:textId="77777777" w:rsidR="007C0893" w:rsidRDefault="00000000">
      <w:pPr>
        <w:spacing w:before="120" w:after="40"/>
        <w:jc w:val="center"/>
      </w:pPr>
      <w:r>
        <w:drawing>
          <wp:inline xmlns:a="http://schemas.openxmlformats.org/drawingml/2006/main" xmlns:pic="http://schemas.openxmlformats.org/drawingml/2006/picture">
            <wp:extent cx="5760720" cy="877672"/>
            <wp:docPr id="1217661469" name="Picture 1217661469"/>
            <wp:cNvGraphicFramePr>
              <a:graphicFrameLocks noChangeAspect="1"/>
            </wp:cNvGraphicFramePr>
            <a:graphic>
              <a:graphicData uri="http://schemas.openxmlformats.org/drawingml/2006/picture">
                <pic:pic>
                  <pic:nvPicPr>
                    <pic:cNvPr id="0" name="01_arquitectura.png"/>
                    <pic:cNvPicPr/>
                  </pic:nvPicPr>
                  <pic:blipFill>
                    <a:blip r:embed="rId15"/>
                    <a:stretch>
                      <a:fillRect/>
                    </a:stretch>
                  </pic:blipFill>
                  <pic:spPr>
                    <a:xfrm>
                      <a:off x="0" y="0"/>
                      <a:ext cx="5760720" cy="877672"/>
                    </a:xfrm>
                    <a:prstGeom prst="rect"/>
                  </pic:spPr>
                </pic:pic>
              </a:graphicData>
            </a:graphic>
          </wp:inline>
        </w:drawing>
      </w:r>
    </w:p>
    <w:p w14:paraId="25EB7BF2" w14:textId="77777777" w:rsidR="007C0893" w:rsidRDefault="00000000">
      <w:pPr>
        <w:spacing w:before="80" w:after="200"/>
        <w:jc w:val="center"/>
      </w:pPr>
      <w:r>
        <w:rPr>
          <w:i/>
          <w:iCs/>
          <w:color w:val="595959"/>
          <w:sz w:val="18"/>
          <w:szCs w:val="18"/>
        </w:rPr>
        <w:t>Figura 1. Arquitectura general de la plataforma.</w:t>
      </w:r>
    </w:p>
    <w:p w14:paraId="55FEB659" w14:textId="77777777" w:rsidR="007C0893" w:rsidRDefault="00000000">
      <w:pPr>
        <w:pStyle w:val="Ttulo2"/>
      </w:pPr>
      <w:bookmarkStart w:id="11" w:name="_Toc233752746"/>
      <w:r>
        <w:t>5.2. Descripción de la arquitectura técnica</w:t>
      </w:r>
      <w:bookmarkEnd w:id="11"/>
    </w:p>
    <w:p w14:paraId="27A66075" w14:textId="77777777" w:rsidR="007C0893" w:rsidRDefault="00000000">
      <w:pPr>
        <w:spacing w:after="160" w:line="276" w:lineRule="auto"/>
        <w:jc w:val="both"/>
      </w:pPr>
      <w:proofErr w:type="spellStart"/>
      <w:proofErr w:type="spellEnd"/>
      <w:proofErr w:type="spellStart"/>
      <w:proofErr w:type="spellEnd"/>
      <w:proofErr w:type="spellStart"/>
      <w:proofErr w:type="spellEnd"/>
      <w:r>
        <w:t>La capa de ingesta se implementa con AWS Lambda: una función de captura por fuente, invocada de forma programada mediante Amazon EventBridge Scheduler (una o varias reglas por fuente según su cadencia real, unas veintitrés reglas en total). El proyecto no llegó a implementar una ruta caliente ni procesamiento en streaming sobre un flujo continuo: el «estado instantáneo» de cada señal es, en la práctica, la fila más reciente de la agregación horaria de la capa Gold.</w:t>
      </w:r>
    </w:p>
    <w:p w14:paraId="34CF201A" w14:textId="5E43FADC" w:rsidR="007C0893" w:rsidRDefault="00000000">
      <w:pPr>
        <w:spacing w:after="160" w:line="276" w:lineRule="auto"/>
        <w:jc w:val="both"/>
      </w:pPr>
      <w:proofErr w:type="spellStart"/>
      <w:proofErr w:type="spellEnd"/>
      <w:r>
        <w:t>El almacenamiento se organiza como un lakehouse de tres capas sobre Amazon S3 en formato Parquet —Bronze (datos crudos), Silver (datos limpios y normalizados) y Gold (agregados listos para explotación)—, catalogado con AWS Glue Data Catalog y consultado mediante Amazon Athena con Partition Projection, que calcula las particiones por fórmula en vez de mantener un catálogo de tablas Delta. AWS Glue (Spark gestionado) ejecuta el procesamiento por lotes de Bronze a Silver y de Silver a Gold. A partir de la capa Gold se materializa el grafo urbano en Neo4j (AuraDB, nivel gratuito) y se entrena, sobre `modelado/`, un conjunto de modelos —incluida una red neuronal de grafos— que fusionan las distintas señales para predecir el estado de la ciudad.</w:t>
      </w:r>
    </w:p>
    <w:p w14:paraId="090F56BF" w14:textId="77777777" w:rsidR="007C0893" w:rsidRDefault="00000000">
      <w:pPr>
        <w:spacing w:after="160" w:line="276" w:lineRule="auto"/>
        <w:jc w:val="both"/>
      </w:pPr>
      <w:proofErr w:type="spellStart"/>
      <w:proofErr w:type="spellEnd"/>
      <w:proofErr w:type="spellStart"/>
      <w:proofErr w:type="spellEnd"/>
      <w:proofErr w:type="spellStart"/>
      <w:proofErr w:type="spellEnd"/>
      <w:proofErr w:type="spellStart"/>
      <w:proofErr w:type="spellEnd"/>
      <w:r>
        <w:t>La capa de MLOps gobierna el ciclo de vida del modelo con MLflow (seguimiento de experimentos y registro), Evidently (detección de deriva) y ONNX como formato de despliegue, sobre el pipeline de `modelado/` construido para este proyecto. La capa de explotación se articula alrededor de un único backend conversacional —un servicio FastAPI que incorpora un agente MCP con diecinueve herramientas y un chat en lenguaje natural apoyado en un modelo de lenguaje servido vía Groq (nivel gratuito)—, accesible desde tres superficies públicas que comparten ese mismo backend: una aplicación de demostración (Amazon S3 + CloudFront, autenticación básica) y, sobre todo, el mapa animado y el explorador del grafo en vivo, publicados ambos en GitHub Pages con el chat incrustado directamente en la página (véase 6.7); el cuadro de mando en Power BI planteado originalmente no se llegó a construir.</w:t>
      </w:r>
    </w:p>
    <w:p w14:paraId="2C7F93F0" w14:textId="77777777" w:rsidR="007C0893" w:rsidRDefault="00000000">
      <w:pPr>
        <w:pStyle w:val="Ttulo2"/>
      </w:pPr>
      <w:bookmarkStart w:id="12" w:name="_Toc233752747"/>
      <w:r>
        <w:t>5.3. Justificación de elección de tecnologías</w:t>
      </w:r>
      <w:bookmarkEnd w:id="12"/>
    </w:p>
    <w:p w14:paraId="355B1AA8" w14:textId="602AC709" w:rsidR="007C0893" w:rsidRDefault="00000000">
      <w:pPr>
        <w:spacing w:after="160" w:line="276" w:lineRule="auto"/>
        <w:jc w:val="both"/>
      </w:pPr>
      <w:proofErr w:type="spellStart"/>
      <w:proofErr w:type="spellEnd"/>
      <w:proofErr w:type="spellStart"/>
      <w:proofErr w:type="spellEnd"/>
      <w:r>
        <w:t>La arquitectura se apoya íntegramente en servicios gestionados de AWS con nivel gratuito real, elegidos para sostener la premisa de coste cero del proyecto (véase 5.4): AWS Lambda y Amazon EventBridge Scheduler sustituyen a un clúster de streaming como Apache Kafka, que exigiría una infraestructura desplegada y operada de forma continua incompatible con ese objetivo; AWS Glue sustituye a un clúster Spark autogestionado, aportando el mismo procesamiento distribuido por lotes sin coste de operación; y Amazon Athena con Partition Projection sustituye a un almacén Delta Lake, evitando mantener un catálogo de particiones creciente a cambio de renunciar a funciones como el versionado de tablas o el `MERGE` eficiente (véase 7.5).</w:t>
      </w:r>
    </w:p>
    <w:p w14:paraId="031A68EA" w14:textId="77777777" w:rsidR="007C0893" w:rsidRDefault="00000000">
      <w:pPr>
        <w:spacing w:after="160" w:line="276" w:lineRule="auto"/>
        <w:jc w:val="both"/>
      </w:pPr>
      <w:proofErr w:type="spellStart"/>
      <w:proofErr w:type="spellEnd"/>
      <w:r>
        <w:t>La representación en grafo sigue siendo una decisión de diseño central: las preguntas del asistente son intrínsecamente relacionales (proximidad entre lugares, conexiones de transporte, correlaciones entre señales cercanas), y un grafo las resuelve de forma natural; es además el sustrato sobre el que se entrena la red neuronal de grafos de `modelado/`. El formato ONNX aporta portabilidad del modelo entre entornos de ejecución. Finalmente, el patrón de agente MCP convierte el lakehouse en una fuente de conocimiento consultable en lenguaje natural sin exponer su complejidad al usuario.</w:t>
      </w:r>
    </w:p>
    <w:p w14:paraId="2737903B" w14:textId="77777777" w:rsidR="007C0893" w:rsidRDefault="00000000">
      <w:pPr>
        <w:pStyle w:val="Ttulo2"/>
      </w:pPr>
      <w:bookmarkStart w:id="13" w:name="_Toc233752748"/>
      <w:r>
        <w:t>5.4. Estimación básica de costes de infraestructura</w:t>
      </w:r>
      <w:bookmarkEnd w:id="13"/>
    </w:p>
    <w:p w14:paraId="19A4FC42" w14:textId="77777777" w:rsidR="007C0893" w:rsidRDefault="00000000">
      <w:pPr>
        <w:spacing w:after="160" w:line="276" w:lineRule="auto"/>
        <w:jc w:val="both"/>
      </w:pPr>
      <w:r>
        <w:t>Una de las premisas del proyecto es el coste cero en datos y software. Todas las fuentes son datos abiertos públicos y toda la pila tecnológica se apoya en servicios gestionados de AWS dentro de su nivel gratuito (Lambda, EventBridge Scheduler, Glue, Athena, S3) y en Neo4j AuraDB Free; el proyecto no requiere coste material en su núcleo. Tampoco lo añade el pipeline de modelado: MLflow usa un backend SQLite local (sin servidor), el reentrenamiento nocturno está diseñado para programarse con `cron` en la misma instancia (sin recursos nuevos de AWS) y la inferencia ONNX corre sobre CPU. El único gasto real observado en desarrollo proviene de las ejecuciones de AWS Glue fuera del nivel gratuito, vigilado con una herramienta de estimación y desglose de coste construida para el proyecto (`herramientas/costes/`).</w:t>
      </w:r>
    </w:p>
    <w:tbl>
      <w:tblPr>
        <w:tblW w:w="6953" w:type="dxa"/>
        <w:tblInd w:w="1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5"/>
        <w:gridCol w:w="3578"/>
      </w:tblGrid>
      <w:tr w:rsidR="00046FC8" w14:paraId="07B95360" w14:textId="77777777" w:rsidTr="00B77EB9">
        <w:trPr>
          <w:trHeight w:val="246"/>
          <w:tblHeader/>
        </w:trPr>
        <w:tc>
          <w:tcPr>
            <w:tcW w:w="3375" w:type="dxa"/>
            <w:tcBorders>
              <w:top w:val="single" w:sz="1" w:space="0" w:color="BBBBBB"/>
              <w:left w:val="single" w:sz="1" w:space="0" w:color="BBBBBB"/>
              <w:bottom w:val="single" w:sz="1" w:space="0" w:color="BBBBBB"/>
              <w:right w:val="single" w:sz="1" w:space="0" w:color="BBBBBB"/>
            </w:tcBorders>
            <w:shd w:val="clear" w:color="auto" w:fill="DCE3EF"/>
            <w:tcMar>
              <w:top w:w="60" w:type="dxa"/>
              <w:left w:w="110" w:type="dxa"/>
              <w:bottom w:w="60" w:type="dxa"/>
              <w:right w:w="110" w:type="dxa"/>
            </w:tcMar>
            <w:vAlign w:val="center"/>
          </w:tcPr>
          <w:p w14:paraId="696E2BC4" w14:textId="77777777" w:rsidR="00046FC8" w:rsidRDefault="00046FC8">
            <w:pPr>
              <w:spacing w:line="252" w:lineRule="auto"/>
            </w:pPr>
            <w:r>
              <w:rPr>
                <w:b/>
                <w:bCs/>
                <w:color w:val="1F497D"/>
                <w:sz w:val="20"/>
                <w:szCs w:val="20"/>
              </w:rPr>
              <w:t>Concepto</w:t>
            </w:r>
          </w:p>
        </w:tc>
        <w:tc>
          <w:tcPr>
            <w:tcW w:w="3578" w:type="dxa"/>
            <w:tcBorders>
              <w:top w:val="single" w:sz="1" w:space="0" w:color="BBBBBB"/>
              <w:left w:val="single" w:sz="1" w:space="0" w:color="BBBBBB"/>
              <w:bottom w:val="single" w:sz="1" w:space="0" w:color="BBBBBB"/>
              <w:right w:val="single" w:sz="1" w:space="0" w:color="BBBBBB"/>
            </w:tcBorders>
            <w:shd w:val="clear" w:color="auto" w:fill="DCE3EF"/>
            <w:tcMar>
              <w:top w:w="60" w:type="dxa"/>
              <w:left w:w="110" w:type="dxa"/>
              <w:bottom w:w="60" w:type="dxa"/>
              <w:right w:w="110" w:type="dxa"/>
            </w:tcMar>
            <w:vAlign w:val="center"/>
          </w:tcPr>
          <w:p w14:paraId="758EF0D0" w14:textId="50094BCB" w:rsidR="00046FC8" w:rsidRDefault="00046FC8">
            <w:pPr>
              <w:spacing w:line="252" w:lineRule="auto"/>
            </w:pPr>
            <w:r>
              <w:rPr>
                <w:b/>
                <w:bCs/>
                <w:color w:val="1F497D"/>
                <w:sz w:val="20"/>
                <w:szCs w:val="20"/>
              </w:rPr>
              <w:t>Desarrollo (TFM)</w:t>
            </w:r>
          </w:p>
        </w:tc>
      </w:tr>
      <w:tr w:rsidR="00046FC8" w14:paraId="5A07EC54" w14:textId="77777777" w:rsidTr="00B77EB9">
        <w:trPr>
          <w:trHeight w:val="274"/>
        </w:trPr>
        <w:tc>
          <w:tcPr>
            <w:tcW w:w="337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BC04E6F" w14:textId="77777777" w:rsidR="00046FC8" w:rsidRDefault="00046FC8">
            <w:pPr>
              <w:spacing w:line="252" w:lineRule="auto"/>
            </w:pPr>
            <w:r>
              <w:rPr>
                <w:sz w:val="20"/>
                <w:szCs w:val="20"/>
              </w:rPr>
              <w:t>Datos</w:t>
            </w:r>
          </w:p>
        </w:tc>
        <w:tc>
          <w:tcPr>
            <w:tcW w:w="357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BEC79C3" w14:textId="78F1F661" w:rsidR="00046FC8" w:rsidRDefault="00046FC8">
            <w:pPr>
              <w:spacing w:line="252" w:lineRule="auto"/>
            </w:pPr>
            <w:r>
              <w:t xml:space="preserve">50 </w:t>
            </w:r>
            <w:r>
              <w:rPr>
                <w:sz w:val="20"/>
                <w:szCs w:val="20"/>
              </w:rPr>
              <w:t>€</w:t>
            </w:r>
            <w:r>
              <w:rPr>
                <w:sz w:val="20"/>
                <w:szCs w:val="20"/>
              </w:rPr>
              <w:t xml:space="preserve"> Almacenamiento </w:t>
            </w:r>
            <w:proofErr w:type="spellStart"/>
            <w:r>
              <w:rPr>
                <w:sz w:val="20"/>
                <w:szCs w:val="20"/>
              </w:rPr>
              <w:t>cloud</w:t>
            </w:r>
            <w:proofErr w:type="spellEnd"/>
          </w:p>
        </w:tc>
      </w:tr>
      <w:tr w:rsidR="00046FC8" w14:paraId="05668413" w14:textId="77777777" w:rsidTr="00B77EB9">
        <w:trPr>
          <w:trHeight w:val="246"/>
        </w:trPr>
        <w:tc>
          <w:tcPr>
            <w:tcW w:w="337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D023F15" w14:textId="77777777" w:rsidR="00046FC8" w:rsidRDefault="00046FC8">
            <w:pPr>
              <w:spacing w:line="252" w:lineRule="auto"/>
            </w:pPr>
            <w:r>
              <w:rPr>
                <w:sz w:val="20"/>
                <w:szCs w:val="20"/>
              </w:rPr>
              <w:t>Software / procesamiento</w:t>
            </w:r>
          </w:p>
        </w:tc>
        <w:tc>
          <w:tcPr>
            <w:tcW w:w="357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6F0F7FE" w14:textId="3085C055" w:rsidR="00046FC8" w:rsidRDefault="00046FC8">
            <w:pPr>
              <w:spacing w:line="252" w:lineRule="auto"/>
            </w:pPr>
            <w:r>
              <w:rPr>
                <w:sz w:val="20"/>
                <w:szCs w:val="20"/>
              </w:rPr>
              <w:t xml:space="preserve">200 </w:t>
            </w:r>
            <w:r>
              <w:rPr>
                <w:sz w:val="20"/>
                <w:szCs w:val="20"/>
              </w:rPr>
              <w:t>€</w:t>
            </w:r>
            <w:r>
              <w:rPr>
                <w:sz w:val="20"/>
                <w:szCs w:val="20"/>
              </w:rPr>
              <w:t xml:space="preserve"> Procesamiento</w:t>
            </w:r>
          </w:p>
        </w:tc>
      </w:tr>
      <w:tr w:rsidR="00046FC8" w14:paraId="549CC4A5" w14:textId="77777777" w:rsidTr="00B77EB9">
        <w:trPr>
          <w:trHeight w:val="246"/>
        </w:trPr>
        <w:tc>
          <w:tcPr>
            <w:tcW w:w="337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8E5743D" w14:textId="77777777" w:rsidR="00046FC8" w:rsidRDefault="00046FC8">
            <w:pPr>
              <w:spacing w:line="252" w:lineRule="auto"/>
            </w:pPr>
            <w:r>
              <w:rPr>
                <w:sz w:val="20"/>
                <w:szCs w:val="20"/>
              </w:rPr>
              <w:t>Hardware</w:t>
            </w:r>
          </w:p>
        </w:tc>
        <w:tc>
          <w:tcPr>
            <w:tcW w:w="357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9DF3BF" w14:textId="77777777" w:rsidR="00046FC8" w:rsidRDefault="00046FC8">
            <w:pPr>
              <w:spacing w:line="252" w:lineRule="auto"/>
            </w:pPr>
            <w:r>
              <w:rPr>
                <w:sz w:val="20"/>
                <w:szCs w:val="20"/>
              </w:rPr>
              <w:t>Solo en extensión opcional</w:t>
            </w:r>
          </w:p>
        </w:tc>
      </w:tr>
      <w:tr w:rsidR="00046FC8" w:rsidRPr="00B77EB9" w14:paraId="60F636E5" w14:textId="77777777" w:rsidTr="00B77EB9">
        <w:trPr>
          <w:trHeight w:val="232"/>
        </w:trPr>
        <w:tc>
          <w:tcPr>
            <w:tcW w:w="3375"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D30DB1D" w14:textId="22589A7B" w:rsidR="00046FC8" w:rsidRDefault="00046FC8" w:rsidP="00046FC8">
            <w:pPr>
              <w:spacing w:line="252" w:lineRule="auto"/>
              <w:ind w:left="708" w:hanging="708"/>
            </w:pPr>
            <w:r>
              <w:t>Afluencia derivada (grafo)</w:t>
            </w:r>
          </w:p>
        </w:tc>
        <w:tc>
          <w:tcPr>
            <w:tcW w:w="357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DCEC8B2" w14:textId="42556134" w:rsidR="00046FC8" w:rsidRPr="00B77EB9" w:rsidRDefault="00B77EB9">
            <w:pPr>
              <w:spacing w:line="252" w:lineRule="auto"/>
              <w:rPr>
                <w:lang w:val="en-US"/>
              </w:rPr>
            </w:pPr>
            <w:proofErr w:type="spellStart"/>
            <w:proofErr w:type="spellEnd"/>
            <w:r>
              <w:t>0 € — señal derivada de sensores propios vía el grafo urbano, sin llamadas a APIs de pago (Google Maps se evaluó y se descartó, véase 5.3 y 6.8)</w:t>
            </w:r>
          </w:p>
        </w:tc>
      </w:tr>
    </w:tbl>
    <w:p w14:paraId="60A4CE0D" w14:textId="77777777" w:rsidR="007C0893" w:rsidRDefault="00000000">
      <w:pPr>
        <w:spacing w:before="80" w:after="200"/>
        <w:jc w:val="center"/>
      </w:pPr>
      <w:r>
        <w:rPr>
          <w:i/>
          <w:iCs/>
          <w:color w:val="595959"/>
          <w:sz w:val="18"/>
          <w:szCs w:val="18"/>
        </w:rPr>
        <w:t>Tabla 2. Estimación de costes en desarrollo y en un eventual despliegue productivo.</w:t>
      </w:r>
    </w:p>
    <w:p w14:paraId="2D81A0EA" w14:textId="77777777" w:rsidR="007C0893" w:rsidRDefault="00000000">
      <w:pPr>
        <w:pStyle w:val="Ttulo2"/>
      </w:pPr>
      <w:bookmarkStart w:id="14" w:name="_Toc233752749"/>
      <w:r>
        <w:t>5.5. Estrategia DevOps</w:t>
      </w:r>
      <w:bookmarkEnd w:id="14"/>
    </w:p>
    <w:p w14:paraId="610702D4" w14:textId="77777777" w:rsidR="007C0893" w:rsidRDefault="00000000">
      <w:pPr>
        <w:spacing w:after="160" w:line="276"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La fiabilidad del dato se asegura con puertas de calidad implementadas con Great Expectations en la transición Bronze→Silver de cada fuente, de modo que ningún lote que incumpla las expectativas progresa de capa —el informe de cada ejecución queda persistido junto al propio dato, en `silver/_quality_reports/`—. El contrato de cada fuente no se versiona con un registro de esquemas Avro, sino de forma más ligera: cada módulo de captura normaliza su registro a un esquema propio (`normalize_record`) que incluye un campo `schema_version`, verificado con tests unitarios reales.</w:t>
      </w:r>
    </w:p>
    <w:p>
      <w:pPr>
        <w:spacing w:after="160" w:line="276" w:lineRule="auto"/>
        <w:jc w:val="both"/>
      </w:pPr>
      <w:r>
        <w:t>El ciclo de los modelos de `modelado/` se gobierna con MLflow, con un backend SQLite local (sin servidor, coste 0) y un registro de modelos que promueve la versión vigente con el alias `@champion` —MLflow 3 sustituyó los antiguos *stages* de producción/staging por alias—; cada entrenamiento queda como un run listable, con sus hiperparámetros, métricas y artefactos (la figura SHAP, el modelo). Evidently genera, bajo demanda, un informe de deriva (PSI + Kolmogorov-Smirnov) entre la ventana de referencia y la más reciente: en la ventana de datos disponible, solo las variables de calendario derivan —un artefacto de qué días caen en cada partición, no una deriva real de la señal—, así que el mecanismo está montado y verificado, aunque su lectura sea todavía ilustrativa (véase 7.4).</w:t>
      </w:r>
    </w:p>
    <w:p>
      <w:pPr/>
      <w:r>
        <w:t>Los forecasters de árbol (LightGBM) se exportan a ONNX para una ejecución portable: el modelo servido reproduce al nativo con un error medio de en torno al 0,1 % de la escala del target, dentro de la tolerancia definida en `modelado/export/CONTRATO.md`, que fija también el orden, tipo y unidad de cada feature de entrada. El modelo de grafo (STGNN) no exporta a ONNX por una limitación conocida de `torch.export` con su bucle temporal; mientras tanto se sirve directamente desde su registro nativo (véase 7.4 y 7.5). El despliegue de la infraestructura se gestiona íntegramente como código con Terraform; el reentrenamiento del modelo se ha verificado manualmente y se ejecuta por separado del resto del pipeline, mediante una tarea `cron` en la propia instancia —sin crear infraestructura nueva—, que reconstruye el panel de datos, reentrena, evalúa contra el modelo vigente y solo promueve la nueva versión si no empeora; está instalado y verificado en producción con una ejecución real forzada (seis modelos reentrenados y registrados, guardrail de promoción probado), aunque con la ingesta congelada (véase 7.4) su efecto hasta la entrega es mantener el modelo vigente, no incorporar historia nueva.</w:t>
      </w:r>
    </w:p>
    <w:p>
      <w:pPr/>
      <w:r>
        <w:t>La gestión de credenciales en producción pasó de llevar el secreto en claro en la variable de entorno de la función Lambda a leerlo de AWS SSM Parameter Store como `SecureString` en tiempo de ejecución: los cuatro productores con credencial externa (AEMET, Bluesky, CAMS y transporte público EMT) solo llevan ya la ruta al parámetro, con una política IAM de `ssm:GetParameter` acotada a los seis ARN concretos que necesitan, sin comodines. Verificado con una invocación real de `cams_calidad_aire` en producción que confirma que la variable de entorno ya no contiene el secreto.</w:t>
      </w:r>
    </w:p>
    <w:p>
      <w:pPr/>
      <w:r>
        <w:t>La salud del pipeline se vigila con una regla de Amazon EventBridge que detecta en tiempo real cualquier job de AWS Glue en estado `FAILED`, `TIMEOUT` o `ERROR`, activa en producción. El canal de notificación —un topic de Amazon SNS— queda sin desplegar por una limitación de permisos IAM ajena al diseño (el único servicio sin política `*FullAccess` en el usuario de despliegue) y por decisión explícita del equipo de que el diseño y la regla activa bastan para el alcance de este trabajo; el canal de aviso queda como último paso de despliegue (véase 7.4).</w:t>
      </w:r>
    </w:p>
    <w:p w14:paraId="65046657" w14:textId="77777777" w:rsidR="007C0893" w:rsidRDefault="00000000">
      <w:pPr>
        <w:pStyle w:val="Ttulo1"/>
      </w:pPr>
      <w:bookmarkStart w:id="15" w:name="_Toc233752750"/>
      <w:r>
        <w:lastRenderedPageBreak/>
        <w:t>6. Solución tecnológica</w:t>
      </w:r>
      <w:bookmarkEnd w:id="15"/>
    </w:p>
    <w:p w14:paraId="74D703F3" w14:textId="77777777" w:rsidR="007C0893" w:rsidRDefault="00000000">
      <w:pPr>
        <w:pStyle w:val="Ttulo2"/>
      </w:pPr>
      <w:bookmarkStart w:id="16" w:name="_Toc233752751"/>
      <w:r>
        <w:t>6.1. Fuentes de datos</w:t>
      </w:r>
      <w:bookmarkEnd w:id="16"/>
    </w:p>
    <w:p w14:paraId="77BF7424" w14:textId="77777777" w:rsidR="007C0893" w:rsidRDefault="00000000">
      <w:pPr>
        <w:spacing w:after="160" w:line="276" w:lineRule="auto"/>
        <w:jc w:val="both"/>
      </w:pPr>
      <w:r>
        <w:t>El proyecto integra 24 fuentes de datos abiertos, agrupadas en tres categorías funcionales; dieciséis de ellas están en producción continua, con captura programada y flujo Bronze→Silver→Gold activo (dos de las dieciséis, incidencias de EMT y aparcamiento regulado en calle, tienen por ahora solo la ingesta a Bronze; Silver/Gold queda como trabajo pendiente, véase 7.5). No se detallan los puntos de acceso concretos, que se recogen de forma resumida en el anexo.</w:t>
      </w:r>
    </w:p>
    <w:p w14:paraId="06D77474" w14:textId="77777777" w:rsidR="007C0893" w:rsidRDefault="00000000">
      <w:pPr>
        <w:pStyle w:val="Prrafodelista"/>
        <w:numPr>
          <w:ilvl w:val="0"/>
          <w:numId w:val="2"/>
        </w:numPr>
        <w:spacing w:after="60" w:line="268" w:lineRule="auto"/>
        <w:jc w:val="both"/>
      </w:pPr>
      <w:r>
        <w:t>Movilidad y transporte: tráfico, transporte público EMT, BiciMAD, aparcamientos, aforos de peatones y bicicletas (histórico, fuente municipal descontinuada desde junio de 2024) y la red de transporte CRTM como contexto estático; pendientes de despliegue en producción continua, incidencias de EMT y aparcamiento regulado en calle.</w:t>
      </w:r>
    </w:p>
    <w:p w14:paraId="129B44DC" w14:textId="77777777" w:rsidR="007C0893" w:rsidRDefault="00000000">
      <w:pPr>
        <w:pStyle w:val="Prrafodelista"/>
        <w:numPr>
          <w:ilvl w:val="0"/>
          <w:numId w:val="2"/>
        </w:numPr>
        <w:spacing w:after="60" w:line="268" w:lineRule="auto"/>
        <w:jc w:val="both"/>
      </w:pPr>
      <w:r>
        <w:t>Medioambiente: calidad del aire, ruido y meteorología, en tiempo real e histórico, con la previsión de calidad del aire de Copernicus (CAMS) como enriquecimiento de cobertura europea.</w:t>
      </w:r>
    </w:p>
    <w:p w14:paraId="69AD60AB" w14:textId="77777777" w:rsidR="007C0893" w:rsidRDefault="00000000">
      <w:pPr>
        <w:pStyle w:val="Prrafodelista"/>
        <w:numPr>
          <w:ilvl w:val="0"/>
          <w:numId w:val="2"/>
        </w:numPr>
        <w:spacing w:after="60" w:line="268" w:lineRule="auto"/>
        <w:jc w:val="both"/>
      </w:pPr>
      <w:r>
        <w:t>Contexto urbano: callejero, límites de barrio y distrito, puntos de interés, calendario laboral, agenda de eventos, cartelera de cines, menciones en Bluesky y afluencia de lugares —esta última como señal derivada de los sensores próximos en el grafo urbano, no como medición directa (véase 6.7)—; pendiente de despliegue, parques y jardines.</w:t>
      </w:r>
    </w:p>
    <w:p w14:paraId="4C29CA1A" w14:textId="77777777" w:rsidR="007C0893" w:rsidRDefault="00000000">
      <w:pPr>
        <w:spacing w:after="160" w:line="276" w:lineRule="auto"/>
        <w:jc w:val="both"/>
      </w:pPr>
      <w:r>
        <w:t>El enriquecimiento de cobertura europea real es la previsión de calidad del aire de Copernicus (CAMS); la observación por satélite planteada originalmente no se llegó a incorporar y queda como futura línea (véase 7.5). Por su naturaleza homogénea entre países, este enriquecimiento constituye además la base común que permitiría extender el enfoque a ciudades de características similares a Madrid sin depender de sensores locales específicos.</w:t>
      </w:r>
    </w:p>
    <w:p w14:paraId="7A3B1C09" w14:textId="77777777" w:rsidR="007C0893" w:rsidRDefault="00000000">
      <w:pPr>
        <w:pStyle w:val="Ttulo2"/>
      </w:pPr>
      <w:bookmarkStart w:id="17" w:name="_Toc233752752"/>
      <w:r>
        <w:t>6.2. Preparación de datos</w:t>
      </w:r>
      <w:bookmarkEnd w:id="17"/>
    </w:p>
    <w:p w14:paraId="48AF883E" w14:textId="77777777" w:rsidR="007C0893" w:rsidRDefault="00000000">
      <w:pPr>
        <w:spacing w:after="160" w:line="276" w:lineRule="auto"/>
        <w:jc w:val="both"/>
      </w:pPr>
      <w:proofErr w:type="spellStart"/>
      <w:proofErr w:type="spellEnd"/>
      <w:proofErr w:type="spellStart"/>
      <w:proofErr w:type="spellEnd"/>
      <w:r>
        <w:t>Cada fuente se ingiere en la capa Bronze conservando el dato original, particionado por fecha y hora de Madrid. En la capa Silver se aplican limpieza, tipado y normalización: los indicadores de afluencia y congestión se llevan a una escala relativa común (0–100 %), se resuelven los valores ausentes y las inconsistencias detectadas en algunas fuentes —campos nulos, unidades heterogéneas o coordenadas incompletas— y se homogeneízan las marcas temporales y los sistemas de referencia geográfica. La puerta de calidad de cada fuente se implementa con Great Expectations en el paso Bronze→Silver: un lote que no cumple las expectativas no progresa a Gold, y el informe de la ejecución queda persistido para su revisión. Esta puerta permitió detectar y corregir en producción, por ejemplo, una regresión real en la lectura incremental de varios datasets que generaba duplicados, sin pérdida de datos gracias a que Silver conserva el histórico completo (véase 7.1).</w:t>
      </w:r>
    </w:p>
    <w:p w14:paraId="110A9FD9" w14:textId="77777777" w:rsidR="007C0893" w:rsidRDefault="00000000">
      <w:pPr>
        <w:pStyle w:val="Ttulo2"/>
      </w:pPr>
      <w:bookmarkStart w:id="18" w:name="_Toc233752753"/>
      <w:r>
        <w:t>6.3. Flujos de datos</w:t>
      </w:r>
      <w:bookmarkEnd w:id="18"/>
    </w:p>
    <w:p w14:paraId="5FA2FBD5" w14:textId="77777777" w:rsidR="007C0893" w:rsidRDefault="00000000">
      <w:pPr>
        <w:spacing w:after="160" w:line="276" w:lineRule="auto"/>
        <w:jc w:val="both"/>
      </w:pPr>
      <w:proofErr w:type="spellStart"/>
      <w:proofErr w:type="spellEnd"/>
      <w:proofErr w:type="spellStart"/>
      <w:proofErr w:type="spellEnd"/>
      <w:r>
        <w:t>El proyecto implementa un único flujo real, por lotes: cada fuente → función Lambda programada por EventBridge Scheduler → capa Bronze (Parquet particionado por fecha y hora de Madrid) → trabajo de AWS Glue Bronze→Silver (limpieza, normalización y puerta de calidad) → trabajo de Glue Silver→Gold (agregación horaria o diaria, según la fuente) → capas de explotación: Amazon Athena, el grafo Neo4j y el feature store de `modelado/`. No existe un flujo en streaming ni una ruta caliente independiente: la capa Gold es la única superficie que consultan el asistente y los modelos, y su fila más reciente es el estado más actualizado disponible del sistema.</w:t>
      </w:r>
    </w:p>
    <w:p w14:paraId="5FA2FBD5" w14:textId="77777777" w:rsidR="007C0893" w:rsidRDefault="00000000">
      <w:pPr>
        <w:spacing w:after="160" w:line="276" w:lineRule="auto"/>
        <w:jc w:val="both"/>
      </w:pPr>
      <w:proofErr w:type="spellStart"/>
      <w:proofErr w:type="spellEnd"/>
      <w:proofErr w:type="spellStart"/>
      <w:proofErr w:type="spellEnd"/>
      <w:r>
        <w:drawing>
          <wp:inline xmlns:a="http://schemas.openxmlformats.org/drawingml/2006/main" xmlns:pic="http://schemas.openxmlformats.org/drawingml/2006/picture">
            <wp:extent cx="5760720" cy="1291345"/>
            <wp:docPr id="1217661470" name="Picture 1217661470"/>
            <wp:cNvGraphicFramePr>
              <a:graphicFrameLocks noChangeAspect="1"/>
            </wp:cNvGraphicFramePr>
            <a:graphic>
              <a:graphicData uri="http://schemas.openxmlformats.org/drawingml/2006/picture">
                <pic:pic>
                  <pic:nvPicPr>
                    <pic:cNvPr id="0" name="02_pipeline_datos.png"/>
                    <pic:cNvPicPr/>
                  </pic:nvPicPr>
                  <pic:blipFill>
                    <a:blip r:embed="rId16"/>
                    <a:stretch>
                      <a:fillRect/>
                    </a:stretch>
                  </pic:blipFill>
                  <pic:spPr>
                    <a:xfrm>
                      <a:off x="0" y="0"/>
                      <a:ext cx="5760720" cy="1291345"/>
                    </a:xfrm>
                    <a:prstGeom prst="rect"/>
                  </pic:spPr>
                </pic:pic>
              </a:graphicData>
            </a:graphic>
          </wp:inline>
        </w:drawing>
      </w:r>
    </w:p>
    <w:p w14:paraId="5FA2FBD5" w14:textId="77777777" w:rsidR="007C0893" w:rsidRDefault="00000000">
      <w:pPr>
        <w:spacing w:after="160" w:line="276" w:lineRule="auto"/>
        <w:jc w:val="both"/>
      </w:pPr>
      <w:proofErr w:type="spellStart"/>
      <w:proofErr w:type="spellEnd"/>
      <w:proofErr w:type="spellStart"/>
      <w:proofErr w:type="spellEnd"/>
      <w:r>
        <w:t>Figura 2. Flujo de datos Bronze→Silver→Gold de cada fuente, con la puerta de calidad Great Expectations.</w:t>
      </w:r>
    </w:p>
    <w:p w14:paraId="0AA3F678" w14:textId="77777777" w:rsidR="007C0893" w:rsidRDefault="00000000">
      <w:pPr>
        <w:pStyle w:val="Ttulo2"/>
      </w:pPr>
      <w:bookmarkStart w:id="19" w:name="_Toc233752754"/>
      <w:r>
        <w:t>6.4. Procesamiento (</w:t>
      </w:r>
      <w:proofErr w:type="spellStart"/>
      <w:r>
        <w:t>batch</w:t>
      </w:r>
      <w:proofErr w:type="spellEnd"/>
      <w:r>
        <w:t xml:space="preserve">, </w:t>
      </w:r>
      <w:proofErr w:type="spellStart"/>
      <w:r>
        <w:t>streaming</w:t>
      </w:r>
      <w:proofErr w:type="spellEnd"/>
      <w:r>
        <w:t>, etc.)</w:t>
      </w:r>
      <w:bookmarkEnd w:id="19"/>
    </w:p>
    <w:p w14:paraId="4F331623" w14:textId="77777777" w:rsidR="007C0893" w:rsidRDefault="00000000">
      <w:pPr>
        <w:spacing w:after="160" w:line="276" w:lineRule="auto"/>
        <w:jc w:val="both"/>
      </w:pPr>
      <w:proofErr w:type="spellStart"/>
      <w:proofErr w:type="spellEnd"/>
      <w:r>
        <w:t>El procesamiento es exclusivamente por lotes, ejecutado con AWS Glue (Spark gestionado). El paso Bronze→Silver limpia, tipa y normaliza cada fuente de forma independiente; el paso Silver→Gold agrega por hora o por día según la naturaleza de la señal y construye las tablas que alimentan el grafo, el asistente y el feature store del modelado. No existe procesamiento en streaming: el estado «instantáneo» de cada señal se sustituye por la última agregación horaria disponible en Gold. Sobre estas tablas se entrenan los modelos predictivos de `modelado/` —incluida una red neuronal de grafos sobre el grafo urbano— que fusionan movilidad, medioambiente y contexto para anticipar afluencia, congestión y episodios de calidad del aire.</w:t>
      </w:r>
    </w:p>
    <w:p w14:paraId="75E50D8F" w14:textId="77777777" w:rsidR="007C0893" w:rsidRDefault="00000000">
      <w:pPr>
        <w:pStyle w:val="Ttulo2"/>
      </w:pPr>
      <w:bookmarkStart w:id="20" w:name="_Toc233752755"/>
      <w:r>
        <w:lastRenderedPageBreak/>
        <w:t>6.5. Orquestación</w:t>
      </w:r>
      <w:bookmarkEnd w:id="20"/>
    </w:p>
    <w:p w14:paraId="6F4626C6" w14:textId="4702769C" w:rsidR="007C0893" w:rsidRDefault="00000000">
      <w:pPr>
        <w:spacing w:after="160" w:line="276" w:lineRule="auto"/>
        <w:jc w:val="both"/>
      </w:pPr>
      <w:r>
        <w:t>Los pipelines se orquestan íntegramente dentro de AWS mediante Glue Triggers nativos, sin un orquestador externo tipo Airflow. Para cada fuente, un trigger de tipo `SCHEDULED` lanza el trabajo Bronze→Silver según su cadencia real —horaria para los productores en producción continua, diaria a primera hora para otras (ruido, agenda, Bluesky, aforos, afluencia derivada) y a horas fijas para AEMET, CAMS y cartelera—, y un trigger de tipo `CONDITIONAL` lanza el trabajo Silver→Gold en cuanto el anterior termina con éxito. Las alertas por desviación anómala planteadas originalmente sobre una ruta caliente no se implementaron; quedan como futura línea (véase 7.5).</w:t>
      </w:r>
    </w:p>
    <w:p w14:paraId="714A75A2" w14:textId="77777777" w:rsidR="007C0893" w:rsidRDefault="00000000">
      <w:pPr>
        <w:pStyle w:val="Ttulo2"/>
      </w:pPr>
      <w:bookmarkStart w:id="21" w:name="_Toc233752756"/>
      <w:r>
        <w:t>6.6. Almacenamiento y consulta</w:t>
      </w:r>
      <w:bookmarkEnd w:id="21"/>
    </w:p>
    <w:p w14:paraId="508FC3DB" w14:textId="77777777" w:rsidR="007C0893" w:rsidRDefault="00000000">
      <w:pPr>
        <w:spacing w:after="160" w:line="276" w:lineRule="auto"/>
        <w:jc w:val="both"/>
      </w:pPr>
      <w:r>
        <w:t>El almacenamiento combina dos superficies de consulta sobre la capa Gold. Amazon Athena, con el catálogo de AWS Glue y Partition Projection —que calcula las particiones por fórmula sin necesidad de `MSCK REPAIR` ni de mantener un catálogo que crece sin control—, resuelve la explotación analítica y alimenta el feature store de `modelado/`. El grafo Neo4j (AuraDB, nivel gratuito) resuelve las consultas relacionales del asistente. No existe un almacén caliente independiente para consultas de baja latencia: el asistente accede a estas dos superficies a través de su agente MCP, que traduce la pregunta del usuario en consultas Cypher sobre el grafo y consultas SQL sobre Athena, y combina ambos resultados.</w:t>
      </w:r>
    </w:p>
    <w:p w14:paraId="508FC3DB" w14:textId="77777777" w:rsidR="007C0893" w:rsidRDefault="00000000">
      <w:pPr>
        <w:spacing w:after="160" w:line="276" w:lineRule="auto"/>
        <w:jc w:val="both"/>
      </w:pPr>
      <w:r>
        <w:t>El grafo urbano se ha densificado en varias iteraciones sin romper compatibilidad: parte de un índice espacial mínimo (lugares, estaciones de medida, paradas de transporte, barrios y distritos) y ha ido incorporando nodos de nuevos tipos (estaciones meteorológicas, recintos de eventos) y atributos por entidad leídos de la capa Gold sin reingesta (qué contaminantes mide cada estación de aire, capacidades de aparcamiento y de anclaje BiciMAD, subárea de tráfico, nombre). El patrón es siempre el mismo: las entidades geolocalizadas y estables se modelan como nodos del grafo —«dónde y qué hay cerca»—, mientras que sus series de medidas en el tiempo quedan en las tablas Gold —«qué valor, en el tiempo»—, y los modelos de `modelado/` predicen sobre esas series —«qué valor tendrá»—. Fuentes sin una entidad geolocalizada y estable que modelar —`agenda_eventos` (eventos puntuales, no lugares fijos), `aforos_peatones_bicicletas` (fuente municipal descontinuada, solo histórico) y `transporte_publico_emt` (una única parada capturada, véase 7.4)— no aportan nodos propios al grafo por esa misma razón, no por una omisión.</w:t>
      </w:r>
    </w:p>
    <w:p w14:paraId="508FC3DB" w14:textId="77777777" w:rsidR="007C0893" w:rsidRDefault="00000000">
      <w:pPr>
        <w:spacing w:after="160" w:line="276" w:lineRule="auto"/>
        <w:jc w:val="both"/>
      </w:pPr>
      <w:r>
        <w:t>A fecha de esta memoria, la instancia real contiene 9812 nodos —4867 `EstacionMedida` (tráfico, calidad del aire, ruido, meteorología, aforos), 4056 `ParadaTransporte`, 737 `Lugar` (puntos de interés, parques, recintos, aparcamientos, cines), 131 `Barrio` y 21 `Distrito`— y 76156 relaciones de cuatro tipos (`PROXIMO_A`, `CONECTADO_CON`, `UBICADO_EN`, `PERTENECE_A`), verificadas con consultas de solo lectura contra la instancia AuraDB real.</w:t>
      </w:r>
    </w:p>
    <w:p w14:paraId="36599A13" w14:textId="77777777" w:rsidR="007C0893" w:rsidRDefault="00000000">
      <w:pPr>
        <w:pStyle w:val="Ttulo2"/>
      </w:pPr>
      <w:bookmarkStart w:id="22" w:name="_Toc233752757"/>
      <w:r>
        <w:t>6.7. Explotación de resultados (</w:t>
      </w:r>
      <w:proofErr w:type="spellStart"/>
      <w:r>
        <w:t>reporting</w:t>
      </w:r>
      <w:proofErr w:type="spellEnd"/>
      <w:r>
        <w:t>, modelos…)</w:t>
      </w:r>
      <w:bookmarkEnd w:id="22"/>
    </w:p>
    <w:p w14:paraId="2678ABDD" w14:textId="77777777" w:rsidR="007C0893" w:rsidRDefault="00000000">
      <w:pPr>
        <w:spacing w:after="160" w:line="276" w:lineRule="auto"/>
        <w:jc w:val="both"/>
      </w:pPr>
      <w:r>
        <w:t>La explotación de resultados se concentra en el asistente conversacional «Madroño», un servicio FastAPI que incorpora un agente MCP con diecinueve herramientas reales, ninguna con lógica pendiente, agrupadas en tres familias: estado actual sobre la última fila disponible de Gold o del grafo (`calidad_aire`, `trafico_cercano`, `afluencia_estimada`, `disponibilidad_aparcamiento`, `eventos_cercanos`, `opciones_movilidad`, `meteo_cercana`, `avisos_meteo`); previsión y contraste, anclados a la última lectura real (`calidad_aire_prevista` y `trafico_prevista`, LightGBM exportado a ONNX; `calidad_aire_prevista_grafo` y `trafico_prevista_grafo`, el modelo de grafo STGNN servido desde su registro nativo al no exportar a ONNX —véase 5.3—, con la importancia de arista como explicación; `calidad_aire_episodio`, probabilidad de superar un umbral OMS/UE por contaminante y horizonte; `calidad_aire_cams`, contraste frente a la previsión europea de Copernicus; `afluencia_prevista`, señal derivada por persistencia y por la previsión de tráfico); y consulta relacional sobre el grafo urbano (`ruta_saludable`, ruta saludable frente a ruta rápida con reducción de exposición y mejor hora; `contexto_urbano`, barrio/distrito y entorno a uno y dos saltos; `consulta_grafo`, ocho plantillas Cypher de solo lectura parametrizadas, sin Cypher libre; `mejor_hora_zona`, la capa social y de accesibilidad del proyecto, con nueve perfiles de sensibilidad —general, ciclista, sensible al aire o al ruido, asma/EPOC, mayor, infancia, movilidad reducida y trabajo exterior— sobre bandas de referencia OMS/UE). Todas están verificadas de extremo a extremo contra los sistemas reales del proyecto (Athena, Neo4j y, para la previsión, los modelos servidos), no contra datos simulados. El cuadro de mando en Power BI planteado originalmente para una visión analítica y agregada no se construyó; esa visión la cubren los cuadernos de evaluación del modelado (véase 7.2). Ante una pregunta como «¿voy al centro a las nueve de la noche del viernes?», el asistente invoca las herramientas necesarias, razona sobre los resultados y devuelve una recomendación con tres elementos: el veredicto, un nivel de fiabilidad en función de cuántas señales reales estaban disponibles, y una explicación trazable a los datos.</w:t>
      </w:r>
    </w:p>
    <w:p w14:paraId="7E65F268" w14:textId="77777777" w:rsidR="007C0893" w:rsidRDefault="00000000">
      <w:pPr>
        <w:spacing w:after="160" w:line="276" w:lineRule="auto"/>
        <w:jc w:val="both"/>
      </w:pPr>
      <w:r>
        <w:t>Por ejemplo, ante esa consulta el asistente combina el tráfico y la disponibilidad de aparcamiento cercanos al destino con la afluencia estimada derivada de los sensores próximos y la previsión de calidad del aire a seis horas vista —anclada al último dato real y no a un valor genérico—, para devolver un veredicto cuantificado en vez de una respuesta genérica; por ejemplo, un ozono que hoy está alto pero cuya previsión ya anticipa el descenso característico del atardecer. El nombre comercial localiza la cara del asistente; el motor de razonamiento es agnóstico a la ciudad, lo que abre la puerta a réplicas en otros municipios.</w:t>
      </w:r>
    </w:p>
    <w:p w14:paraId="7E65F268" w14:textId="77777777" w:rsidR="007C0893" w:rsidRDefault="00000000">
      <w:pPr>
        <w:spacing w:after="160" w:line="276" w:lineRule="auto"/>
        <w:jc w:val="both"/>
      </w:pPr>
      <w:r>
        <w:drawing>
          <wp:inline xmlns:a="http://schemas.openxmlformats.org/drawingml/2006/main" xmlns:pic="http://schemas.openxmlformats.org/drawingml/2006/picture">
            <wp:extent cx="5760720" cy="2030559"/>
            <wp:docPr id="1217661471" name="Picture 1217661471"/>
            <wp:cNvGraphicFramePr>
              <a:graphicFrameLocks noChangeAspect="1"/>
            </wp:cNvGraphicFramePr>
            <a:graphic>
              <a:graphicData uri="http://schemas.openxmlformats.org/drawingml/2006/picture">
                <pic:pic>
                  <pic:nvPicPr>
                    <pic:cNvPr id="0" name="04_secuencia_consulta.png"/>
                    <pic:cNvPicPr/>
                  </pic:nvPicPr>
                  <pic:blipFill>
                    <a:blip r:embed="rId17"/>
                    <a:stretch>
                      <a:fillRect/>
                    </a:stretch>
                  </pic:blipFill>
                  <pic:spPr>
                    <a:xfrm>
                      <a:off x="0" y="0"/>
                      <a:ext cx="5760720" cy="2030559"/>
                    </a:xfrm>
                    <a:prstGeom prst="rect"/>
                  </pic:spPr>
                </pic:pic>
              </a:graphicData>
            </a:graphic>
          </wp:inline>
        </w:drawing>
      </w:r>
    </w:p>
    <w:p w14:paraId="7E65F268" w14:textId="77777777" w:rsidR="007C0893" w:rsidRDefault="00000000">
      <w:pPr>
        <w:spacing w:after="160" w:line="276" w:lineRule="auto"/>
        <w:jc w:val="both"/>
      </w:pPr>
      <w:r>
        <w:t>Figura 3. Secuencia de una consulta al asistente conversacional, de principio a fin.</w:t>
      </w:r>
    </w:p>
    <w:p w14:paraId="7E65F268" w14:textId="77777777" w:rsidR="007C0893" w:rsidRDefault="00000000">
      <w:pPr>
        <w:spacing w:after="160" w:line="276" w:lineRule="auto"/>
        <w:jc w:val="both"/>
      </w:pPr>
      <w:r>
        <w:t>Ese backend conversacional tiene además una cara de usuario de demostración independiente de cualquier cliente MCP externo: una aplicación web con landing de presentación, autenticación básica y el mismo chat, con el backend en la misma instancia EC2 del proyecto y el frontend estático servido desde Amazon S3 y CloudFront. La autenticación es deliberadamente básica y no sustituye a un sistema de usuarios real (véase 7.4).</w:t>
      </w:r>
    </w:p>
    <w:p w14:paraId="7E65F268" w14:textId="77777777" w:rsidR="007C0893" w:rsidRDefault="00000000">
      <w:pPr>
        <w:spacing w:after="160" w:line="276" w:lineRule="auto"/>
        <w:jc w:val="both"/>
      </w:pPr>
      <w:r>
        <w:t>Las dos superficies públicas de referencia, sin embargo, viven en GitHub Pages —gratuitas, sin autenticación y sin necesidad de una instancia dedicada al frontend— y ambas incorporan ya el mismo chat incrustado directamente en la página, no solo un enlace a la aplicación de demostración: el mapa animado, que recorre hora a hora los 1798 nodos de tráfico del grafo con la previsión de los modelos (tráfico y calidad del aire), resaltando las aristas más influyentes y un índice de salud por nodo, con una capa social y de accesibilidad de nueve perfiles de sensibilidad y bandas de referencia OMS/UE, generado íntegramente sin conexión a los sistemas en vivo; y el explorador del grafo urbano en vivo, que sí consulta Neo4j directamente y en solo lectura para mostrar nodos, aristas de transporte y vecindarios de proximidad reales en cada momento. En ambas superficies, el chat ya no es una caja negra: cada respuesta muestra una traza de qué herramientas del agente MCP se invocaron para construirla, y un catálogo de preguntas sugeridas ayuda a quien no conoce el sistema a empezar (Figura 3).</w:t>
      </w:r>
    </w:p>
    <w:p w14:paraId="281177AB" w14:textId="77777777" w:rsidR="007C0893" w:rsidRDefault="00000000">
      <w:pPr>
        <w:pStyle w:val="Ttulo2"/>
      </w:pPr>
      <w:bookmarkStart w:id="23" w:name="_Toc233752758"/>
      <w:r>
        <w:t>6.8. Consideraciones éticas / legales del uso de datos</w:t>
      </w:r>
      <w:bookmarkEnd w:id="23"/>
    </w:p>
    <w:p w14:paraId="4128A693" w14:textId="77777777" w:rsidR="007C0893" w:rsidRDefault="00000000">
      <w:pPr>
        <w:spacing w:after="160" w:line="276" w:lineRule="auto"/>
        <w:jc w:val="both"/>
      </w:pPr>
      <w:r>
        <w:t>El diseño prioriza la privacidad. Las señales de discurso social se tratan de forma agregada, sin almacenar identificadores, y se descartan deliberadamente los conjuntos de datos que contienen información personal, conforme al RGPD.</w:t>
      </w:r>
    </w:p>
    <w:p w14:paraId="4F8B2BDE" w14:textId="77777777" w:rsidR="007C0893" w:rsidRDefault="00000000">
      <w:pPr>
        <w:spacing w:after="160" w:line="276" w:lineRule="auto"/>
        <w:jc w:val="both"/>
      </w:pPr>
      <w:r>
        <w:t>La obtención de afluencia de lugares se planteó originalmente mediante una librería de código abierto que replica la señal de popularidad de Google Maps; se evaluó esa vía y se descartó, no solo por la zona gris respecto a las condiciones de uso de terceros, sino porque exige en la práctica una llamada de pago a la API oficial de Google incluso en su nivel gratuito, incompatible con la premisa de coste cero del proyecto. Se sustituyó por una señal derivada de fuentes propias —las estaciones de tráfico, ruido, BiciMAD y calidad del aire próximas a cada lugar en el grafo urbano—, sin ninguna dependencia de condiciones de uso de terceros. Un proveedor comercial de afluencia con licencia adecuada queda como alternativa para un eventual despliegue productivo (véase 7.5).</w:t>
      </w:r>
    </w:p>
    <w:p w14:paraId="291ED504" w14:textId="77777777" w:rsidR="007C0893" w:rsidRDefault="00000000">
      <w:pPr>
        <w:pStyle w:val="Ttulo1"/>
      </w:pPr>
      <w:bookmarkStart w:id="24" w:name="_Toc233752759"/>
      <w:r>
        <w:lastRenderedPageBreak/>
        <w:t>7. Resultados y conclusiones</w:t>
      </w:r>
      <w:bookmarkEnd w:id="24"/>
    </w:p>
    <w:p w14:paraId="1EDECD7A" w14:textId="77777777" w:rsidR="007C0893" w:rsidRDefault="00000000">
      <w:pPr>
        <w:pStyle w:val="Ttulo2"/>
      </w:pPr>
      <w:bookmarkStart w:id="25" w:name="_Toc233752760"/>
      <w:r>
        <w:t>7.1. Logros alcanzados y validación de los resultados</w:t>
      </w:r>
      <w:bookmarkEnd w:id="25"/>
    </w:p>
    <w:p w14:paraId="647D7EAF" w14:textId="77777777" w:rsidR="007C0893" w:rsidRDefault="00000000">
      <w:pPr>
        <w:spacing w:after="160" w:line="276" w:lineRule="auto"/>
        <w:jc w:val="both"/>
      </w:pPr>
      <w:proofErr w:type="spellStart"/>
      <w:proofErr w:type="spellEnd"/>
      <w:proofErr w:type="spellStart"/>
      <w:proofErr w:type="spellEnd"/>
      <w:r>
        <w:t>El proyecto entrega una plataforma funcional extremo a extremo: ingiere 24 fuentes abiertas (16 en producción continua), las consolida en un lakehouse gobernado por puertas de calidad Great Expectations, las fusiona en un grafo urbano en Neo4j y las explota mediante un pipeline de modelado predictivo (`modelado/`) y el asistente conversacional. La validación se articula en tres ejes: la calidad y consistencia de los datos integrados, la capacidad predictiva de la fusión multi-señal frente a líneas base, y la fidelidad de las respuestas del asistente respecto a los datos que las sustentan (esta última, verificada de extremo a extremo para las 19 tools reales, véase 6.7).</w:t>
      </w:r>
    </w:p>
    <w:p>
      <w:pPr/>
      <w:r>
        <w:t>El eje de calidad de datos se validó con un incidente real de producción: una regresión en la lectura incremental de varios datasets generaba filas duplicadas en Silver; se detectó, se diagnosticó y se corrigió sin pérdida de datos gracias a que Silver conserva el histórico completo (véase 6.2). El eje predictivo se apoya en un pipeline de experimentación reproducible: MLflow registra parámetros, métricas y el modelo de cada entrenamiento, con un registro de modelos versionado (`madrono-&lt;fuente&gt;-h&lt;horizonte&gt;`, alias `@champion` para la versión vigente), y Evidently genera un informe de deriva entre la ventana de referencia y la más reciente —con la ventana de datos disponible, ese informe es ilustrativo, no concluyente (véase 7.4).</w:t>
      </w:r>
    </w:p>
    <w:p w14:paraId="3D71F6B6" w14:textId="77777777" w:rsidR="007C0893" w:rsidRDefault="00000000">
      <w:pPr>
        <w:pStyle w:val="Ttulo2"/>
      </w:pPr>
      <w:bookmarkStart w:id="26" w:name="_Toc233752761"/>
      <w:r>
        <w:t>7.2. Métricas utilizadas</w:t>
      </w:r>
      <w:bookmarkEnd w:id="26"/>
    </w:p>
    <w:p>
      <w:pPr/>
      <w:r>
        <w:t>La evaluación predictiva usa el arnés común de `modelado/`, consolidado en `modelado/evaluation/estudios/run_all.py`: split temporal (nunca aleatorio; test = últimos 3 días), y para cada horizonte (1, 3 y 6 horas) MAE, RMSE y un skill score frente a la mejor línea base disponible por fuente y horizonte (persistencia, climatología horaria o estacional-ingenua). Un clasificador de episodio (cruce de umbral OMS para calidad del aire, percentil alto de congestión para tráfico), con precisión/recall/PR-AUC, está diseñado en el arnés de evaluación pero su entrenamiento queda para una futura línea (véase 7.5). Las métricas de calidad de datos son las puertas Great Expectations por fuente: un lote que no las cumple no progresa a Gold (véase 6.2).</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Fuente</w:t>
            </w:r>
          </w:p>
        </w:tc>
        <w:tc>
          <w:tcPr>
            <w:tcW w:type="dxa" w:w="1560"/>
          </w:tcPr>
          <w:p>
            <w:r>
              <w:rPr>
                <w:b/>
              </w:rPr>
              <w:t>h</w:t>
            </w:r>
          </w:p>
        </w:tc>
        <w:tc>
          <w:tcPr>
            <w:tcW w:type="dxa" w:w="1560"/>
          </w:tcPr>
          <w:p>
            <w:r>
              <w:rPr>
                <w:b/>
              </w:rPr>
              <w:t>Modelo</w:t>
            </w:r>
          </w:p>
        </w:tc>
        <w:tc>
          <w:tcPr>
            <w:tcW w:type="dxa" w:w="1560"/>
          </w:tcPr>
          <w:p>
            <w:r>
              <w:rPr>
                <w:b/>
              </w:rPr>
              <w:t>MAE</w:t>
            </w:r>
          </w:p>
        </w:tc>
        <w:tc>
          <w:tcPr>
            <w:tcW w:type="dxa" w:w="1560"/>
          </w:tcPr>
          <w:p>
            <w:r>
              <w:rPr>
                <w:b/>
              </w:rPr>
              <w:t>RMSE</w:t>
            </w:r>
          </w:p>
        </w:tc>
        <w:tc>
          <w:tcPr>
            <w:tcW w:type="dxa" w:w="1560"/>
          </w:tcPr>
          <w:p>
            <w:r>
              <w:rPr>
                <w:b/>
              </w:rPr>
              <w:t>Skill vs línea base</w:t>
            </w:r>
          </w:p>
        </w:tc>
      </w:tr>
      <w:tr>
        <w:tc>
          <w:tcPr>
            <w:tcW w:type="dxa" w:w="1560"/>
          </w:tcPr>
          <w:p>
            <w:r>
              <w:t>Calidad del aire</w:t>
            </w:r>
          </w:p>
        </w:tc>
        <w:tc>
          <w:tcPr>
            <w:tcW w:type="dxa" w:w="1560"/>
          </w:tcPr>
          <w:p>
            <w:r>
              <w:t>1</w:t>
            </w:r>
          </w:p>
        </w:tc>
        <w:tc>
          <w:tcPr>
            <w:tcW w:type="dxa" w:w="1560"/>
          </w:tcPr>
          <w:p>
            <w:r>
              <w:t>LightGBM</w:t>
            </w:r>
          </w:p>
        </w:tc>
        <w:tc>
          <w:tcPr>
            <w:tcW w:type="dxa" w:w="1560"/>
          </w:tcPr>
          <w:p>
            <w:r>
              <w:t>2,46</w:t>
            </w:r>
          </w:p>
        </w:tc>
        <w:tc>
          <w:tcPr>
            <w:tcW w:type="dxa" w:w="1560"/>
          </w:tcPr>
          <w:p>
            <w:r>
              <w:t>4,96</w:t>
            </w:r>
          </w:p>
        </w:tc>
        <w:tc>
          <w:tcPr>
            <w:tcW w:type="dxa" w:w="1560"/>
          </w:tcPr>
          <w:p>
            <w:r>
              <w:t>0,29</w:t>
            </w:r>
          </w:p>
        </w:tc>
      </w:tr>
      <w:tr>
        <w:tc>
          <w:tcPr>
            <w:tcW w:type="dxa" w:w="1560"/>
          </w:tcPr>
          <w:p>
            <w:r>
              <w:t>Calidad del aire</w:t>
            </w:r>
          </w:p>
        </w:tc>
        <w:tc>
          <w:tcPr>
            <w:tcW w:type="dxa" w:w="1560"/>
          </w:tcPr>
          <w:p>
            <w:r>
              <w:t>1</w:t>
            </w:r>
          </w:p>
        </w:tc>
        <w:tc>
          <w:tcPr>
            <w:tcW w:type="dxa" w:w="1560"/>
          </w:tcPr>
          <w:p>
            <w:r>
              <w:t>STGNN</w:t>
            </w:r>
          </w:p>
        </w:tc>
        <w:tc>
          <w:tcPr>
            <w:tcW w:type="dxa" w:w="1560"/>
          </w:tcPr>
          <w:p>
            <w:r>
              <w:t>4,93</w:t>
            </w:r>
          </w:p>
        </w:tc>
        <w:tc>
          <w:tcPr>
            <w:tcW w:type="dxa" w:w="1560"/>
          </w:tcPr>
          <w:p>
            <w:r>
              <w:t>7,37</w:t>
            </w:r>
          </w:p>
        </w:tc>
        <w:tc>
          <w:tcPr>
            <w:tcW w:type="dxa" w:w="1560"/>
          </w:tcPr>
          <w:p>
            <w:r>
              <w:t>−0,51</w:t>
            </w:r>
          </w:p>
        </w:tc>
      </w:tr>
      <w:tr>
        <w:tc>
          <w:tcPr>
            <w:tcW w:type="dxa" w:w="1560"/>
          </w:tcPr>
          <w:p>
            <w:r>
              <w:t>Calidad del aire</w:t>
            </w:r>
          </w:p>
        </w:tc>
        <w:tc>
          <w:tcPr>
            <w:tcW w:type="dxa" w:w="1560"/>
          </w:tcPr>
          <w:p>
            <w:r>
              <w:t>3</w:t>
            </w:r>
          </w:p>
        </w:tc>
        <w:tc>
          <w:tcPr>
            <w:tcW w:type="dxa" w:w="1560"/>
          </w:tcPr>
          <w:p>
            <w:r>
              <w:t>LightGBM</w:t>
            </w:r>
          </w:p>
        </w:tc>
        <w:tc>
          <w:tcPr>
            <w:tcW w:type="dxa" w:w="1560"/>
          </w:tcPr>
          <w:p>
            <w:r>
              <w:t>3,88</w:t>
            </w:r>
          </w:p>
        </w:tc>
        <w:tc>
          <w:tcPr>
            <w:tcW w:type="dxa" w:w="1560"/>
          </w:tcPr>
          <w:p>
            <w:r>
              <w:t>7,40</w:t>
            </w:r>
          </w:p>
        </w:tc>
        <w:tc>
          <w:tcPr>
            <w:tcW w:type="dxa" w:w="1560"/>
          </w:tcPr>
          <w:p>
            <w:r>
              <w:t>0,58</w:t>
            </w:r>
          </w:p>
        </w:tc>
      </w:tr>
      <w:tr>
        <w:tc>
          <w:tcPr>
            <w:tcW w:type="dxa" w:w="1560"/>
          </w:tcPr>
          <w:p>
            <w:r>
              <w:t>Calidad del aire</w:t>
            </w:r>
          </w:p>
        </w:tc>
        <w:tc>
          <w:tcPr>
            <w:tcW w:type="dxa" w:w="1560"/>
          </w:tcPr>
          <w:p>
            <w:r>
              <w:t>3</w:t>
            </w:r>
          </w:p>
        </w:tc>
        <w:tc>
          <w:tcPr>
            <w:tcW w:type="dxa" w:w="1560"/>
          </w:tcPr>
          <w:p>
            <w:r>
              <w:t>STGNN</w:t>
            </w:r>
          </w:p>
        </w:tc>
        <w:tc>
          <w:tcPr>
            <w:tcW w:type="dxa" w:w="1560"/>
          </w:tcPr>
          <w:p>
            <w:r>
              <w:t>5,14</w:t>
            </w:r>
          </w:p>
        </w:tc>
        <w:tc>
          <w:tcPr>
            <w:tcW w:type="dxa" w:w="1560"/>
          </w:tcPr>
          <w:p>
            <w:r>
              <w:t>8,63</w:t>
            </w:r>
          </w:p>
        </w:tc>
        <w:tc>
          <w:tcPr>
            <w:tcW w:type="dxa" w:w="1560"/>
          </w:tcPr>
          <w:p>
            <w:r>
              <w:t>0,48</w:t>
            </w:r>
          </w:p>
        </w:tc>
      </w:tr>
      <w:tr>
        <w:tc>
          <w:tcPr>
            <w:tcW w:type="dxa" w:w="1560"/>
          </w:tcPr>
          <w:p>
            <w:r>
              <w:t>Calidad del aire</w:t>
            </w:r>
          </w:p>
        </w:tc>
        <w:tc>
          <w:tcPr>
            <w:tcW w:type="dxa" w:w="1560"/>
          </w:tcPr>
          <w:p>
            <w:r>
              <w:t>6</w:t>
            </w:r>
          </w:p>
        </w:tc>
        <w:tc>
          <w:tcPr>
            <w:tcW w:type="dxa" w:w="1560"/>
          </w:tcPr>
          <w:p>
            <w:r>
              <w:t>LightGBM</w:t>
            </w:r>
          </w:p>
        </w:tc>
        <w:tc>
          <w:tcPr>
            <w:tcW w:type="dxa" w:w="1560"/>
          </w:tcPr>
          <w:p>
            <w:r>
              <w:t>4,57</w:t>
            </w:r>
          </w:p>
        </w:tc>
        <w:tc>
          <w:tcPr>
            <w:tcW w:type="dxa" w:w="1560"/>
          </w:tcPr>
          <w:p>
            <w:r>
              <w:t>8,31</w:t>
            </w:r>
          </w:p>
        </w:tc>
        <w:tc>
          <w:tcPr>
            <w:tcW w:type="dxa" w:w="1560"/>
          </w:tcPr>
          <w:p>
            <w:r>
              <w:t>0,68</w:t>
            </w:r>
          </w:p>
        </w:tc>
      </w:tr>
      <w:tr>
        <w:tc>
          <w:tcPr>
            <w:tcW w:type="dxa" w:w="1560"/>
          </w:tcPr>
          <w:p>
            <w:r>
              <w:t>Calidad del aire</w:t>
            </w:r>
          </w:p>
        </w:tc>
        <w:tc>
          <w:tcPr>
            <w:tcW w:type="dxa" w:w="1560"/>
          </w:tcPr>
          <w:p>
            <w:r>
              <w:t>6</w:t>
            </w:r>
          </w:p>
        </w:tc>
        <w:tc>
          <w:tcPr>
            <w:tcW w:type="dxa" w:w="1560"/>
          </w:tcPr>
          <w:p>
            <w:r>
              <w:t>STGNN</w:t>
            </w:r>
          </w:p>
        </w:tc>
        <w:tc>
          <w:tcPr>
            <w:tcW w:type="dxa" w:w="1560"/>
          </w:tcPr>
          <w:p>
            <w:r>
              <w:t>6,35</w:t>
            </w:r>
          </w:p>
        </w:tc>
        <w:tc>
          <w:tcPr>
            <w:tcW w:type="dxa" w:w="1560"/>
          </w:tcPr>
          <w:p>
            <w:r>
              <w:t>11,24</w:t>
            </w:r>
          </w:p>
        </w:tc>
        <w:tc>
          <w:tcPr>
            <w:tcW w:type="dxa" w:w="1560"/>
          </w:tcPr>
          <w:p>
            <w:r>
              <w:t>0,55</w:t>
            </w:r>
          </w:p>
        </w:tc>
      </w:tr>
      <w:tr>
        <w:tc>
          <w:tcPr>
            <w:tcW w:type="dxa" w:w="1560"/>
          </w:tcPr>
          <w:p>
            <w:r>
              <w:t>Tráfico</w:t>
            </w:r>
          </w:p>
        </w:tc>
        <w:tc>
          <w:tcPr>
            <w:tcW w:type="dxa" w:w="1560"/>
          </w:tcPr>
          <w:p>
            <w:r>
              <w:t>1</w:t>
            </w:r>
          </w:p>
        </w:tc>
        <w:tc>
          <w:tcPr>
            <w:tcW w:type="dxa" w:w="1560"/>
          </w:tcPr>
          <w:p>
            <w:r>
              <w:t>LightGBM</w:t>
            </w:r>
          </w:p>
        </w:tc>
        <w:tc>
          <w:tcPr>
            <w:tcW w:type="dxa" w:w="1560"/>
          </w:tcPr>
          <w:p>
            <w:r>
              <w:t>0,075</w:t>
            </w:r>
          </w:p>
        </w:tc>
        <w:tc>
          <w:tcPr>
            <w:tcW w:type="dxa" w:w="1560"/>
          </w:tcPr>
          <w:p>
            <w:r>
              <w:t>0,175</w:t>
            </w:r>
          </w:p>
        </w:tc>
        <w:tc>
          <w:tcPr>
            <w:tcW w:type="dxa" w:w="1560"/>
          </w:tcPr>
          <w:p>
            <w:r>
              <w:t>0,37</w:t>
            </w:r>
          </w:p>
        </w:tc>
      </w:tr>
      <w:tr>
        <w:tc>
          <w:tcPr>
            <w:tcW w:type="dxa" w:w="1560"/>
          </w:tcPr>
          <w:p>
            <w:r>
              <w:t>Tráfico</w:t>
            </w:r>
          </w:p>
        </w:tc>
        <w:tc>
          <w:tcPr>
            <w:tcW w:type="dxa" w:w="1560"/>
          </w:tcPr>
          <w:p>
            <w:r>
              <w:t>1</w:t>
            </w:r>
          </w:p>
        </w:tc>
        <w:tc>
          <w:tcPr>
            <w:tcW w:type="dxa" w:w="1560"/>
          </w:tcPr>
          <w:p>
            <w:r>
              <w:t>STGNN*</w:t>
            </w:r>
          </w:p>
        </w:tc>
        <w:tc>
          <w:tcPr>
            <w:tcW w:type="dxa" w:w="1560"/>
          </w:tcPr>
          <w:p>
            <w:r>
              <w:t>0,097</w:t>
            </w:r>
          </w:p>
        </w:tc>
        <w:tc>
          <w:tcPr>
            <w:tcW w:type="dxa" w:w="1560"/>
          </w:tcPr>
          <w:p>
            <w:r>
              <w:t>0,184</w:t>
            </w:r>
          </w:p>
        </w:tc>
        <w:tc>
          <w:tcPr>
            <w:tcW w:type="dxa" w:w="1560"/>
          </w:tcPr>
          <w:p>
            <w:r>
              <w:t>0,39</w:t>
            </w:r>
          </w:p>
        </w:tc>
      </w:tr>
      <w:tr>
        <w:tc>
          <w:tcPr>
            <w:tcW w:type="dxa" w:w="1560"/>
          </w:tcPr>
          <w:p>
            <w:r>
              <w:t>Tráfico</w:t>
            </w:r>
          </w:p>
        </w:tc>
        <w:tc>
          <w:tcPr>
            <w:tcW w:type="dxa" w:w="1560"/>
          </w:tcPr>
          <w:p>
            <w:r>
              <w:t>3</w:t>
            </w:r>
          </w:p>
        </w:tc>
        <w:tc>
          <w:tcPr>
            <w:tcW w:type="dxa" w:w="1560"/>
          </w:tcPr>
          <w:p>
            <w:r>
              <w:t>LightGBM</w:t>
            </w:r>
          </w:p>
        </w:tc>
        <w:tc>
          <w:tcPr>
            <w:tcW w:type="dxa" w:w="1560"/>
          </w:tcPr>
          <w:p>
            <w:r>
              <w:t>0,081</w:t>
            </w:r>
          </w:p>
        </w:tc>
        <w:tc>
          <w:tcPr>
            <w:tcW w:type="dxa" w:w="1560"/>
          </w:tcPr>
          <w:p>
            <w:r>
              <w:t>0,188</w:t>
            </w:r>
          </w:p>
        </w:tc>
        <w:tc>
          <w:tcPr>
            <w:tcW w:type="dxa" w:w="1560"/>
          </w:tcPr>
          <w:p>
            <w:r>
              <w:t>0,61</w:t>
            </w:r>
          </w:p>
        </w:tc>
      </w:tr>
      <w:tr>
        <w:tc>
          <w:tcPr>
            <w:tcW w:type="dxa" w:w="1560"/>
          </w:tcPr>
          <w:p>
            <w:r>
              <w:t>Tráfico</w:t>
            </w:r>
          </w:p>
        </w:tc>
        <w:tc>
          <w:tcPr>
            <w:tcW w:type="dxa" w:w="1560"/>
          </w:tcPr>
          <w:p>
            <w:r>
              <w:t>3</w:t>
            </w:r>
          </w:p>
        </w:tc>
        <w:tc>
          <w:tcPr>
            <w:tcW w:type="dxa" w:w="1560"/>
          </w:tcPr>
          <w:p>
            <w:r>
              <w:t>STGNN*</w:t>
            </w:r>
          </w:p>
        </w:tc>
        <w:tc>
          <w:tcPr>
            <w:tcW w:type="dxa" w:w="1560"/>
          </w:tcPr>
          <w:p>
            <w:r>
              <w:t>0,100</w:t>
            </w:r>
          </w:p>
        </w:tc>
        <w:tc>
          <w:tcPr>
            <w:tcW w:type="dxa" w:w="1560"/>
          </w:tcPr>
          <w:p>
            <w:r>
              <w:t>0,194</w:t>
            </w:r>
          </w:p>
        </w:tc>
        <w:tc>
          <w:tcPr>
            <w:tcW w:type="dxa" w:w="1560"/>
          </w:tcPr>
          <w:p>
            <w:r>
              <w:t>0,64</w:t>
            </w:r>
          </w:p>
        </w:tc>
      </w:tr>
      <w:tr>
        <w:tc>
          <w:tcPr>
            <w:tcW w:type="dxa" w:w="1560"/>
          </w:tcPr>
          <w:p>
            <w:r>
              <w:t>Tráfico</w:t>
            </w:r>
          </w:p>
        </w:tc>
        <w:tc>
          <w:tcPr>
            <w:tcW w:type="dxa" w:w="1560"/>
          </w:tcPr>
          <w:p>
            <w:r>
              <w:t>6</w:t>
            </w:r>
          </w:p>
        </w:tc>
        <w:tc>
          <w:tcPr>
            <w:tcW w:type="dxa" w:w="1560"/>
          </w:tcPr>
          <w:p>
            <w:r>
              <w:t>LightGBM</w:t>
            </w:r>
          </w:p>
        </w:tc>
        <w:tc>
          <w:tcPr>
            <w:tcW w:type="dxa" w:w="1560"/>
          </w:tcPr>
          <w:p>
            <w:r>
              <w:t>0,081</w:t>
            </w:r>
          </w:p>
        </w:tc>
        <w:tc>
          <w:tcPr>
            <w:tcW w:type="dxa" w:w="1560"/>
          </w:tcPr>
          <w:p>
            <w:r>
              <w:t>0,189</w:t>
            </w:r>
          </w:p>
        </w:tc>
        <w:tc>
          <w:tcPr>
            <w:tcW w:type="dxa" w:w="1560"/>
          </w:tcPr>
          <w:p>
            <w:r>
              <w:t>0,76</w:t>
            </w:r>
          </w:p>
        </w:tc>
      </w:tr>
      <w:tr>
        <w:tc>
          <w:tcPr>
            <w:tcW w:type="dxa" w:w="1560"/>
          </w:tcPr>
          <w:p>
            <w:r>
              <w:t>Tráfico</w:t>
            </w:r>
          </w:p>
        </w:tc>
        <w:tc>
          <w:tcPr>
            <w:tcW w:type="dxa" w:w="1560"/>
          </w:tcPr>
          <w:p>
            <w:r>
              <w:t>6</w:t>
            </w:r>
          </w:p>
        </w:tc>
        <w:tc>
          <w:tcPr>
            <w:tcW w:type="dxa" w:w="1560"/>
          </w:tcPr>
          <w:p>
            <w:r>
              <w:t>STGNN*</w:t>
            </w:r>
          </w:p>
        </w:tc>
        <w:tc>
          <w:tcPr>
            <w:tcW w:type="dxa" w:w="1560"/>
          </w:tcPr>
          <w:p>
            <w:r>
              <w:t>0,101</w:t>
            </w:r>
          </w:p>
        </w:tc>
        <w:tc>
          <w:tcPr>
            <w:tcW w:type="dxa" w:w="1560"/>
          </w:tcPr>
          <w:p>
            <w:r>
              <w:t>0,196</w:t>
            </w:r>
          </w:p>
        </w:tc>
        <w:tc>
          <w:tcPr>
            <w:tcW w:type="dxa" w:w="1560"/>
          </w:tcPr>
          <w:p>
            <w:r>
              <w:t>0,79</w:t>
            </w:r>
          </w:p>
        </w:tc>
      </w:tr>
    </w:tbl>
    <w:p w14:paraId="1913F1D1" w14:textId="77777777" w:rsidR="007C0893" w:rsidRDefault="00000000">
      <w:pPr>
        <w:spacing w:before="80" w:after="200"/>
        <w:jc w:val="center"/>
      </w:pPr>
      <w:r>
        <w:drawing>
          <wp:inline xmlns:a="http://schemas.openxmlformats.org/drawingml/2006/main" xmlns:pic="http://schemas.openxmlformats.org/drawingml/2006/picture">
            <wp:extent cx="5760720" cy="1550024"/>
            <wp:docPr id="1217661472" name="Picture 1217661472"/>
            <wp:cNvGraphicFramePr>
              <a:graphicFrameLocks noChangeAspect="1"/>
            </wp:cNvGraphicFramePr>
            <a:graphic>
              <a:graphicData uri="http://schemas.openxmlformats.org/drawingml/2006/picture">
                <pic:pic>
                  <pic:nvPicPr>
                    <pic:cNvPr id="0" name="03_pipeline_ml.png"/>
                    <pic:cNvPicPr/>
                  </pic:nvPicPr>
                  <pic:blipFill>
                    <a:blip r:embed="rId18"/>
                    <a:stretch>
                      <a:fillRect/>
                    </a:stretch>
                  </pic:blipFill>
                  <pic:spPr>
                    <a:xfrm>
                      <a:off x="0" y="0"/>
                      <a:ext cx="5760720" cy="1550024"/>
                    </a:xfrm>
                    <a:prstGeom prst="rect"/>
                  </pic:spPr>
                </pic:pic>
              </a:graphicData>
            </a:graphic>
          </wp:inline>
        </w:drawing>
      </w:r>
    </w:p>
    <w:p w14:paraId="1913F1D1" w14:textId="77777777" w:rsidR="007C0893" w:rsidRDefault="00000000">
      <w:pPr>
        <w:spacing w:before="80" w:after="200"/>
        <w:jc w:val="center"/>
      </w:pPr>
      <w:r>
        <w:t>Figura 4. Pipeline de modelado: del feature store al modelo servido por el asistente.</w:t>
      </w:r>
    </w:p>
    <w:p w14:paraId="1913F1D1" w14:textId="77777777" w:rsidR="007C0893" w:rsidRDefault="00000000">
      <w:pPr>
        <w:spacing w:before="80" w:after="200"/>
        <w:jc w:val="center"/>
      </w:pPr>
      <w:r>
        <w:t>Tabla 3. Métricas reales de regresión por modelo, fuente y horizonte (test = últimos 3 días; skill score frente a la línea base más exigente disponible). * El STGNN de tráfico se entrena y evalúa sobre el subconjunto de estaciones con coordenadas (`grafo-lugares`, 1798 nodos) frente a persistencia; LightGBM, sobre el panel completo (~300 000 filas) frente a la mejor línea base — ambos números son reales y trazables a `modelado/evaluation/artifacts/estudios/comparacion_todos.csv` (LightGBM) y `doc/ML-05` (STGNN de tráfico).</w:t>
      </w:r>
    </w:p>
    <w:p w14:paraId="2D30AB94" w14:textId="77777777" w:rsidR="007C0893" w:rsidRDefault="00000000">
      <w:pPr>
        <w:pStyle w:val="Ttulo2"/>
      </w:pPr>
      <w:bookmarkStart w:id="27" w:name="_Toc233752762"/>
      <w:r>
        <w:t>7.3. Comparativas realizadas</w:t>
      </w:r>
      <w:bookmarkEnd w:id="27"/>
    </w:p>
    <w:p w14:paraId="3F331FA3" w14:textId="77777777" w:rsidR="007C0893" w:rsidRDefault="00000000">
      <w:pPr>
        <w:spacing w:after="160" w:line="276" w:lineRule="auto"/>
        <w:jc w:val="both"/>
      </w:pPr>
      <w:proofErr w:type="spellStart"/>
      <w:proofErr w:type="spellEnd"/>
      <w:proofErr w:type="gramStart"/>
      <w:proofErr w:type="gramEnd"/>
      <w:r>
        <w:t>La Tabla 3 compara, por fuente y horizonte, la mejor línea base frente a LightGBM (Tier 1) y frente a un GNN espacio-temporal (STGNN, Tier 2) entrenado sobre un grafo de proximidad de las propias estaciones. La lectura es honesta: a 1 hora la persistencia es difícil de batir para calidad del aire —la concentración de un contaminante apenas cambia en una hora— y el STGNN pierde frente a ella (skill −0,51), mientras que LightGBM sí la bate (skill 0,29); a 3 y 6 horas ambos modelos ganan claramente a su línea base, con el STGNN mejorando su margen cuanto mayor es el horizonte (skill 0,48 → 0,55). En tráfico, ambos modelos baten a su línea base en los tres horizontes, con el STGNN ligeramente por delante a partir de 3 horas (skill 0,64 y 0,79 frente a 0,61 y 0,76 de LightGBM). El patrón —el contexto espacio-temporal aporta más cuanto más lejos se mira— es el esperado en previsión de tráfico y calidad del aire, y coherente con la ventana corta de datos disponible (véase 7.4).</w:t>
      </w:r>
    </w:p>
    <w:p>
      <w:pPr/>
      <w:r>
        <w:t>La explicabilidad se resuelve de forma distinta en cada modelo. Para LightGBM, SHAP muestra un patrón consistente en los dos targets: a 1 hora vista domina la lectura actual del propio sensor; a partir de 3 horas pasa a dominar la media móvil de 24 h (el nivel del último día) y, en tráfico, también la hora del día (el patrón punta/valle). Para el STGNN, el gradiente de la pérdida respecto al peso de cada arista da una importancia de arista directa, sin necesidad de un método de explicabilidad externo: la previsión de O₃ en la estación 28079035 depende sobre todo de su vecina 28079049 (mismo contaminante), y la de un punto de tráfico concreto (5412) depende casi en exclusiva de un único tramo contiguo (5768) —el tipo de afirmación relacional que motivó representar la ciudad como grafo (véase 5.3).</w:t>
      </w:r>
    </w:p>
    <w:p>
      <w:pPr/>
      <w:r>
        <w:t>Las dos ablaciones planteadas originalmente en esta sección —fusión multi-señal frente a modelo de una sola fuente, y entrenar con todas las fuentes de Madrid pero evaluar solo con el sustrato europeo común (CAMS, AEMET, calendario) para estimar la pérdida al portar el enfoque a otra ciudad— se descartan para esta entrega: los cuadernos de evaluación de `modelado/` que las ejecutarían ya están construidos (`modelado/evaluation/estudios/run_all.py`, véase Anexo C), pero con ~2 semanas de histórico entrenable y el tiempo que queda hasta la entrega no hay margen para producirlas con datos reales sin arriesgar el resto del alcance. Quedan como futura línea (véase 7.5), no como resultado no conseguido por falta de herramienta: la comparación baseline–LightGBM–STGNN y su explicabilidad, que sí están construidas y verificadas, ya cubren el argumento central de la sección.</w:t>
      </w:r>
    </w:p>
    <w:p>
      <w:pPr/>
      <w:r>
        <w:t>Sobre el mismo grafo urbano se ha ejecutado una analítica estructural independiente de los modelos predictivos, con `networkx` de forma completamente offline sobre una foto fija del grafo (sin `Graph Data Science`, sin llamadas a Neo4j en caliente). Centralidad de intermediación (*betweenness*) y PageRank, junto con la detección de comunidades de Louvain sobre el subgrafo de proximidad espacial, identifican como puntos de paso obligado nodos con un perfil distinto al de mayor grado —Canillejas, Metro O'Donnell y Aeropuerto T1 por intermediación, frente a Castellana-José Vasconcelos, Santo Domingo y Plaza Castilla por PageRank, coherente con ser paradas EMT de alto grado—; las 54 comunidades detectadas capturan razonablemente la geografía real de los 131 barrios (NMI=0,75) sin ser una partición idéntica (ARI=0,36), como es esperable de un algoritmo que no conoce los límites administrativos.</w:t>
      </w:r>
    </w:p>
    <w:p>
      <w:pPr/>
      <w:r>
        <w:t>Sobre la red de transporte modelada (`CONECTADO_CON`), un análisis de resiliencia estructural cuantifica además su fragilidad: 683 puntos de articulación y un 20 % de los tramos sin ninguna alternativa (puentes), coherente con una red poco mallada (`k_max=2`). Un ataque dirigido a las paradas de mayor intermediación fragmenta la red mucho más deprisa que un fallo aleatorio equivalente: al 5 % de bajas, el fragmento mayor cae a un 39,6 % de la red intacta frente a un 89,1 % bajo fallo aleatorio (Figura 5). Esta cifra usa un recálculo de intermediación por lotes (cada 25 bajas) por coste computacional —una aproximación estándar en el estudio de robustez de redes— que, verificado en un subgrafo de contraste, subestima el daño real; el 39,6 % es por tanto una cota optimista de la fragilidad, no un valor ajustado, aunque el hallazgo cualitativo —la vulnerabilidad estructural real de una red modelada con un único viaje representativo por línea, véase 5.3 y 6.6— se sostiene con independencia de esa aproximación.</w:t>
      </w:r>
    </w:p>
    <w:p>
      <w:pPr/>
      <w:r>
        <w:drawing>
          <wp:inline xmlns:a="http://schemas.openxmlformats.org/drawingml/2006/main" xmlns:pic="http://schemas.openxmlformats.org/drawingml/2006/picture">
            <wp:extent cx="5486400" cy="1536192"/>
            <wp:docPr id="1217661468" name="Picture 1217661468"/>
            <wp:cNvGraphicFramePr>
              <a:graphicFrameLocks noChangeAspect="1"/>
            </wp:cNvGraphicFramePr>
            <a:graphic>
              <a:graphicData uri="http://schemas.openxmlformats.org/drawingml/2006/picture">
                <pic:pic>
                  <pic:nvPicPr>
                    <pic:cNvPr id="0" name="grafo_resiliencia.png"/>
                    <pic:cNvPicPr/>
                  </pic:nvPicPr>
                  <pic:blipFill>
                    <a:blip r:embed="rId14"/>
                    <a:stretch>
                      <a:fillRect/>
                    </a:stretch>
                  </pic:blipFill>
                  <pic:spPr>
                    <a:xfrm>
                      <a:off x="0" y="0"/>
                      <a:ext cx="5486400" cy="1536192"/>
                    </a:xfrm>
                    <a:prstGeom prst="rect"/>
                  </pic:spPr>
                </pic:pic>
              </a:graphicData>
            </a:graphic>
          </wp:inline>
        </w:drawing>
      </w:r>
    </w:p>
    <w:p>
      <w:pPr/>
      <w:r>
        <w:t>Figura 5. Curva de robustez de la red de transporte modelada: fracción del fragmento mayor frente a % de paradas eliminadas, ataque dirigido aproximado (línea sólida, recálculo de intermediación por lotes) vs aleatorio (línea discontinua).</w:t>
      </w:r>
    </w:p>
    <w:p>
      <w:pPr/>
      <w:r>
        <w:t>La conectividad del grafo también ayuda a leer la explicabilidad del modelo de tráfico: la correlación entre la importancia de arista que asigna el STGNN (véase 7.3) y el grado en `PROXIMO_A` de sus sensores extremo pasó de una tendencia débil y no significativa (ρ=0,34, p=0,22) a una correlación moderada y significativa (ρ=0,64, p&lt;0,01) al densificar el grafo con los atributos de `FIL_66` — indicio de que el modelo tiende a apoyarse en sensores mejor conectados con otras señales urbanas, aunque con solo 15 aristas de referencia el resultado es indicativo, no concluyente.</w:t>
      </w:r>
    </w:p>
    <w:p w14:paraId="27518602" w14:textId="77777777" w:rsidR="007C0893" w:rsidRDefault="00000000">
      <w:pPr>
        <w:pStyle w:val="Ttulo2"/>
      </w:pPr>
      <w:bookmarkStart w:id="28" w:name="_Toc233752763"/>
      <w:r>
        <w:t>7.4. Limitaciones identificadas</w:t>
      </w:r>
      <w:bookmarkEnd w:id="28"/>
    </w:p>
    <w:p w14:paraId="7D8ED3BD" w14:textId="77777777" w:rsidR="007C0893" w:rsidRDefault="00000000">
      <w:pPr>
        <w:pStyle w:val="Prrafodelista"/>
        <w:numPr>
          <w:ilvl w:val="0"/>
          <w:numId w:val="2"/>
        </w:numPr>
        <w:spacing w:after="60" w:line="268" w:lineRule="auto"/>
        <w:jc w:val="both"/>
      </w:pPr>
      <w:r>
        <w:t>Los modelos se entrenan sobre el histórico disponible entre el 14 y el 29 de agosto de 2026 —unas dos semanas—: la ingesta en continuo se congeló deliberadamente el 30 de agosto para contener el coste y fijar el estado del sistema antes de la entrega, con una única ventana de mantenimiento de unos 24 minutos el 1 de septiembre para aplicar y verificar los cambios de seguridad y observabilidad descritos en 5.5. El reentrenamiento nocturno está desplegado y operativo, pero, con la ingesta congelada, reentrena sobre la misma ventana de datos en vez de ampliarla. Son una demostración de metodología con validación temporal (holdout), no una estimación de su rendimiento en régimen estacional.</w:t>
      </w:r>
    </w:p>
    <w:p w14:paraId="6B5DF1C5" w14:textId="526A8F17" w:rsidR="007C0893" w:rsidRDefault="00046FC8">
      <w:pPr>
        <w:pStyle w:val="Prrafodelista"/>
        <w:numPr>
          <w:ilvl w:val="0"/>
          <w:numId w:val="2"/>
        </w:numPr>
        <w:spacing w:after="60" w:line="268" w:lineRule="auto"/>
        <w:jc w:val="both"/>
      </w:pPr>
      <w:proofErr w:type="spellStart"/>
      <w:proofErr w:type="spellEnd"/>
      <w:proofErr w:type="spellStart"/>
      <w:proofErr w:type="spellEnd"/>
      <w:r>
        <w:t>El proyecto no implementa una ruta caliente ni procesamiento en streaming: el estado «instantáneo» de cada señal es la última agregación horaria de la capa Gold, con una latencia de hasta una hora.</w:t>
      </w:r>
    </w:p>
    <w:p w14:paraId="3B471826" w14:textId="77777777" w:rsidR="007C0893" w:rsidRDefault="00000000">
      <w:pPr>
        <w:pStyle w:val="Prrafodelista"/>
        <w:numPr>
          <w:ilvl w:val="0"/>
          <w:numId w:val="2"/>
        </w:numPr>
        <w:spacing w:after="60" w:line="268" w:lineRule="auto"/>
        <w:jc w:val="both"/>
      </w:pPr>
      <w:r>
        <w:t>La cobertura de las fuentes es heterogénea: la captura de llegadas de EMT se limita a una única parada; los aforos de peatones y bicicletas provienen de una fuente municipal descontinuada desde junio de 2024 y se usan solo como histórico; y algunas tablas Gold arrancaron su producción continua con pocos días de antelación respecto a la entrega.</w:t>
      </w:r>
    </w:p>
    <w:p w14:paraId="317638C8" w14:textId="77777777" w:rsidR="007C0893" w:rsidRDefault="00000000">
      <w:pPr>
        <w:pStyle w:val="Prrafodelista"/>
        <w:numPr>
          <w:ilvl w:val="0"/>
          <w:numId w:val="2"/>
        </w:numPr>
        <w:spacing w:after="60" w:line="268" w:lineRule="auto"/>
        <w:jc w:val="both"/>
      </w:pPr>
      <w:r>
        <w:t>La afluencia de lugares es una señal derivada de los sensores próximos en el grafo urbano, no una medición directa de personas; su nivel bajo/medio/alto es una aproximación documentada, no una magnitud validada externamente.</w:t>
      </w:r>
    </w:p>
    <w:p>
      <w:pPr>
        <w:pStyle w:val="Prrafodelista"/>
        <w:numPr>
          <w:ilvl w:val="0"/>
          <w:numId w:val="2"/>
        </w:numPr>
        <w:spacing w:after="60" w:line="268" w:lineRule="auto"/>
        <w:jc w:val="both"/>
      </w:pPr>
      <w:r>
        <w:t>La integración continua no bloquea la fusión de cambios: el repositorio principal no exige que los checks de tests y de Terraform estén en verde antes de fusionar, y las tareas de menor riesgo se fusionan de forma automática sin esperar a que esos checks terminen. Es un riesgo asumido —documentado y con la corrección ya diseñada— para priorizar la velocidad de iteración durante el desarrollo.</w:t>
      </w:r>
    </w:p>
    <w:p>
      <w:pPr>
        <w:pStyle w:val="Prrafodelista"/>
        <w:numPr>
          <w:ilvl w:val="0"/>
          <w:numId w:val="2"/>
        </w:numPr>
        <w:spacing w:after="60" w:line="268" w:lineRule="auto"/>
        <w:jc w:val="both"/>
      </w:pPr>
      <w:r>
        <w:t>El enriquecimiento del grafo urbano con etiquetas de OpenStreetMap se limita a una muestra reducida de puntos de interés; una captura completa mediante la API de Overpass queda como trabajo futuro.</w:t>
      </w:r>
    </w:p>
    <w:p>
      <w:pPr>
        <w:pStyle w:val="Prrafodelista"/>
        <w:numPr>
          <w:ilvl w:val="0"/>
          <w:numId w:val="2"/>
        </w:numPr>
        <w:spacing w:after="60" w:line="268" w:lineRule="auto"/>
        <w:jc w:val="both"/>
      </w:pPr>
      <w:r>
        <w:t>La evaluación del asistente no puede medir la «corrección» de un consejo subjetivo sobre una recomendación de movilidad; se mide en su lugar la fidelidad de la respuesta a los datos que la sustentan, no el acierto del consejo.</w:t>
      </w:r>
    </w:p>
    <w:p>
      <w:pPr>
        <w:pStyle w:val="Prrafodelista"/>
        <w:numPr>
          <w:ilvl w:val="0"/>
          <w:numId w:val="2"/>
        </w:numPr>
        <w:spacing w:after="60" w:line="268" w:lineRule="auto"/>
        <w:jc w:val="both"/>
      </w:pPr>
      <w:r>
        <w:t>El backtest incremental (entrenamientos sucesivos con más días de historia) muestra la mejora esperada pero con varianza alta: el skill a 6 h de calidad del aire sube de ~0,63 (22/8) a ~0,80 (27/8), con un bache real a 0,11 el 25/8 (dos días peores en los propios datos, no un artefacto) — evidencia directa de que el modelo aún no ha convergido con esta ventana de datos. El mecanismo de reentrenamiento nocturno que alimentaría esa curva en producción está construido, verificado y desplegado en producción mediante una tarea `cron` diaria en la instancia del proyecto; con la ingesta congelada (véase el primer punto de esta lista), su efecto práctico hasta la entrega es mantener el modelo vigente frente a la misma ventana de datos, no incorporar historia nueva.</w:t>
      </w:r>
    </w:p>
    <w:p>
      <w:pPr>
        <w:pStyle w:val="Prrafodelista"/>
        <w:numPr>
          <w:ilvl w:val="0"/>
          <w:numId w:val="2"/>
        </w:numPr>
        <w:spacing w:after="60" w:line="268" w:lineRule="auto"/>
        <w:jc w:val="both"/>
      </w:pPr>
      <w:r>
        <w:t>El modelo servido en producción (ONNX) no es matemáticamente idéntico al modelo nativo: reproduce a LightGBM con un error medio de ~0,1 % de la escala del target, pero con una cola (percentil 99) de hasta un 2 % en calidad del aire por una discrepancia conocida del convertidor en el límite exacto de los cortes de decisión del árbol — documentada, sin impacto práctico frente al error propio del modelo.</w:t>
      </w:r>
    </w:p>
    <w:p>
      <w:pPr>
        <w:pStyle w:val="Prrafodelista"/>
        <w:numPr>
          <w:ilvl w:val="0"/>
          <w:numId w:val="2"/>
        </w:numPr>
        <w:spacing w:after="60" w:line="268" w:lineRule="auto"/>
        <w:jc w:val="both"/>
      </w:pPr>
      <w:r>
        <w:t>El análisis de deriva de datos (Evidently) es, con ~2 semanas de histórico, ilustrativo y no concluyente: en la ventana observada solo derivan las variables de calendario (artefacto de qué días caen en cada partición evaluada), no la señal en sí.</w:t>
      </w:r>
    </w:p>
    <w:p>
      <w:pPr>
        <w:pStyle w:val="Prrafodelista"/>
        <w:numPr>
          <w:ilvl w:val="0"/>
          <w:numId w:val="2"/>
        </w:numPr>
        <w:spacing w:after="60" w:line="268" w:lineRule="auto"/>
        <w:jc w:val="both"/>
      </w:pPr>
      <w:r>
        <w:t>La observabilidad del pipeline está diseñada y parcialmente desplegada: la regla de EventBridge que detecta fallos de Glue está activa en producción, pero el canal de notificación (un topic SNS) no se ha desplegado por una limitación de permisos IAM del despliegue, no por una carencia de diseño; el equipo decidió que basta con la regla activa para el alcance de esta entrega.</w:t>
      </w:r>
    </w:p>
    <w:p>
      <w:pPr>
        <w:pStyle w:val="Prrafodelista"/>
        <w:numPr>
          <w:ilvl w:val="0"/>
          <w:numId w:val="2"/>
        </w:numPr>
        <w:spacing w:after="60" w:line="268" w:lineRule="auto"/>
        <w:jc w:val="both"/>
      </w:pPr>
      <w:r>
        <w:t>La autenticación de la aplicación web es una autenticación básica de demostración (usuario y contraseña únicos y compartidos), suficiente para verificar el flujo de extremo a extremo pero no un sistema de usuarios apto para un despliegue productivo real.</w:t>
      </w:r>
    </w:p>
    <w:p>
      <w:pPr>
        <w:pStyle w:val="Prrafodelista"/>
        <w:numPr>
          <w:ilvl w:val="0"/>
          <w:numId w:val="2"/>
        </w:numPr>
        <w:spacing w:after="60" w:line="268" w:lineRule="auto"/>
        <w:jc w:val="both"/>
      </w:pPr>
      <w:r>
        <w:t>Los atributos por entidad incorporados al grafo urbano (contaminantes, magnitudes meteorológicas, subárea de tráfico, capacidades) ya no dependen de una ventana reciente sobre el reloj real (`FIL_89`: la versión anterior perdía datos en silencio a partir del 13-14 de septiembre, días antes de la entrega, por acotar el escaneo a los últimos 14 días sobre `current_date`; corregido para escanear el histórico completo, coherente con la ingesta ya congelada). Contaminantes (23/23) y magnitudes meteorológicas (25/25) salen completos; la subárea de tráfico cubre 4439 de 4705 puntos (94 %) tras la corrección —verificado que los 266 restantes nunca han reportado subárea en ninguna de sus ~350 lecturas horarias desde el 15 de agosto, una característica real de esos puntos en la fuente, no un artefacto de ventana—; persisten 4 aparcamientos con capacidad nula ya en la propia capa Gold, tampoco relacionado con ninguna ventana temporal.</w:t>
      </w:r>
    </w:p>
    <w:p w14:paraId="1F6D155E" w14:textId="77777777" w:rsidR="007C0893" w:rsidRDefault="00000000">
      <w:pPr>
        <w:pStyle w:val="Ttulo2"/>
      </w:pPr>
      <w:bookmarkStart w:id="29" w:name="_Toc233752764"/>
      <w:r>
        <w:t>7.5. Futuras líneas de mejora y/o desarrollo</w:t>
      </w:r>
      <w:bookmarkEnd w:id="29"/>
    </w:p>
    <w:p w14:paraId="36D98048" w14:textId="77777777" w:rsidR="007C0893" w:rsidRDefault="00000000">
      <w:pPr>
        <w:pStyle w:val="Prrafodelista"/>
        <w:numPr>
          <w:ilvl w:val="0"/>
          <w:numId w:val="2"/>
        </w:numPr>
        <w:spacing w:after="60" w:line="268" w:lineRule="auto"/>
        <w:jc w:val="both"/>
      </w:pPr>
      <w:r>
        <w:t>Sustituir la ingesta programada y el procesamiento por lotes por una ruta en streaming (Apache Kafka con Kafka Connect y registro de esquemas Avro, y procesamiento en ventana con Flink o KSQL), descartada en este proyecto por su coste de operación continua frente al enfoque serverless a coste cero; sería el paso natural para ofrecer latencia por debajo del minuto y alertas en vivo por desviación anómala.</w:t>
      </w:r>
    </w:p>
    <w:p w14:paraId="511B086C" w14:textId="77777777" w:rsidR="007C0893" w:rsidRDefault="00000000">
      <w:pPr>
        <w:pStyle w:val="Prrafodelista"/>
        <w:numPr>
          <w:ilvl w:val="0"/>
          <w:numId w:val="2"/>
        </w:numPr>
        <w:spacing w:after="60" w:line="268" w:lineRule="auto"/>
        <w:jc w:val="both"/>
      </w:pPr>
      <w:r>
        <w:t>Adoptar Delta Lake sobre el lakehouse, que aportaría versionado de tablas (time travel) y operaciones `MERGE` eficientes frente a la combinación actual de Parquet, catálogo de Glue y Partition Projection, suficiente para el caso de uso por lotes de este proyecto pero sin esas capacidades.</w:t>
      </w:r>
    </w:p>
    <w:p w14:paraId="151EEEE7" w14:textId="77777777" w:rsidR="007C0893" w:rsidRDefault="00000000">
      <w:pPr>
        <w:pStyle w:val="Prrafodelista"/>
        <w:numPr>
          <w:ilvl w:val="0"/>
          <w:numId w:val="2"/>
        </w:numPr>
        <w:spacing w:after="60" w:line="268" w:lineRule="auto"/>
        <w:jc w:val="both"/>
      </w:pPr>
      <w:r>
        <w:t>Construir el cuadro de mando en Power BI con un modelo semántico y medidas DAX sobre la capa Gold, planteado originalmente como cara analítica de la explotación y no llegado a implementar.</w:t>
      </w:r>
    </w:p>
    <w:p w14:paraId="5EBFDB53" w14:textId="77777777" w:rsidR="007C0893" w:rsidRDefault="00000000">
      <w:pPr>
        <w:pStyle w:val="Prrafodelista"/>
        <w:numPr>
          <w:ilvl w:val="0"/>
          <w:numId w:val="2"/>
        </w:numPr>
        <w:spacing w:after="60" w:line="268" w:lineRule="auto"/>
        <w:jc w:val="both"/>
      </w:pPr>
      <w:r>
        <w:t>Incorporar observación por satélite (por ejemplo, Sentinel-5P para NO₂) como señal de calidad del aire independiente de la red terrestre de estaciones.</w:t>
      </w:r>
    </w:p>
    <w:p w14:paraId="014DDCF7" w14:textId="77777777" w:rsidR="007C0893" w:rsidRDefault="00000000">
      <w:pPr>
        <w:pStyle w:val="Prrafodelista"/>
        <w:numPr>
          <w:ilvl w:val="0"/>
          <w:numId w:val="2"/>
        </w:numPr>
        <w:spacing w:after="60" w:line="268" w:lineRule="auto"/>
        <w:jc w:val="both"/>
      </w:pPr>
      <w:r>
        <w:t>Sustituir la señal de afluencia derivada por un proveedor comercial con licencia que mida popularidad real de forma directa, para un eventual despliegue productivo.</w:t>
      </w:r>
    </w:p>
    <w:p>
      <w:pPr>
        <w:pStyle w:val="Prrafodelista"/>
        <w:numPr>
          <w:ilvl w:val="0"/>
          <w:numId w:val="2"/>
        </w:numPr>
        <w:spacing w:after="60" w:line="268" w:lineRule="auto"/>
        <w:jc w:val="both"/>
      </w:pPr>
      <w:r>
        <w:t>Incorporar la ocupación en vivo del aparcamiento regulado en calle (dataset «SER. Tiques de aparcamiento»), no integrado en este proyecto.</w:t>
      </w:r>
    </w:p>
    <w:p>
      <w:pPr>
        <w:pStyle w:val="Prrafodelista"/>
        <w:numPr>
          <w:ilvl w:val="0"/>
          <w:numId w:val="2"/>
        </w:numPr>
        <w:spacing w:after="60" w:line="268" w:lineRule="auto"/>
        <w:jc w:val="both"/>
      </w:pPr>
      <w:r>
        <w:t>Ampliar el catálogo de fuentes con datasets identificados pero no construidos durante el rastreo de datos.madrid.es: recarga de vehículo eléctrico, plazas de aparcamiento para personas con movilidad reducida e infraestructura ciclista.</w:t>
      </w:r>
    </w:p>
    <w:p>
      <w:pPr>
        <w:pStyle w:val="Prrafodelista"/>
        <w:numPr>
          <w:ilvl w:val="0"/>
          <w:numId w:val="2"/>
        </w:numPr>
        <w:spacing w:after="60" w:line="268" w:lineRule="auto"/>
        <w:jc w:val="both"/>
      </w:pPr>
      <w:r>
        <w:t>Como extensión opcional, incorporar un nodo de medición física de bajo coste (por ejemplo, una Raspberry Pi con sensores de calidad del aire) que valide la red oficial con una medición independiente; se plantea como un complemento, no como un pilar del proyecto.</w:t>
      </w:r>
    </w:p>
    <w:p>
      <w:pPr>
        <w:pStyle w:val="Prrafodelista"/>
        <w:numPr>
          <w:ilvl w:val="0"/>
          <w:numId w:val="2"/>
        </w:numPr>
        <w:spacing w:after="60" w:line="268" w:lineRule="auto"/>
        <w:jc w:val="both"/>
      </w:pPr>
      <w:r>
        <w:t>Publicar una aplicación móvil que acerque el asistente al ciudadano en su contexto de uso real.</w:t>
      </w:r>
    </w:p>
    <w:p>
      <w:pPr>
        <w:pStyle w:val="Prrafodelista"/>
        <w:numPr>
          <w:ilvl w:val="0"/>
          <w:numId w:val="2"/>
        </w:numPr>
        <w:spacing w:after="60" w:line="268" w:lineRule="auto"/>
        <w:jc w:val="both"/>
      </w:pPr>
      <w:r>
        <w:t>Incorporar una dimensión de huella de carbono a las recomendaciones a partir de la información de la red eléctrica.</w:t>
      </w:r>
    </w:p>
    <w:p>
      <w:pPr>
        <w:pStyle w:val="Prrafodelista"/>
        <w:numPr>
          <w:ilvl w:val="0"/>
          <w:numId w:val="2"/>
        </w:numPr>
        <w:spacing w:after="60" w:line="268" w:lineRule="auto"/>
        <w:jc w:val="both"/>
      </w:pPr>
      <w:r>
        <w:t>Exportar el STGNN a ONNX: sigue bloqueado por una limitación de `torch.export` con su bucle temporal (variable según el número de nodos); mientras tanto, el modelo ya se sirve en producción desde su registro nativo en las tools `calidad_aire_prevista_grafo` y `trafico_prevista_grafo` (véase 6.7), así que el export a ONNX aportaría portabilidad y un arranque más ligero, no una capacidad nueva.</w:t>
      </w:r>
    </w:p>
    <w:p>
      <w:pPr>
        <w:pStyle w:val="Prrafodelista"/>
        <w:numPr>
          <w:ilvl w:val="0"/>
          <w:numId w:val="2"/>
        </w:numPr>
        <w:spacing w:after="60" w:line="268" w:lineRule="auto"/>
        <w:jc w:val="both"/>
      </w:pPr>
      <w:r>
        <w:t>Ejecutar las dos ablaciones descartadas en 7.3 por tiempo: comparar la fusión multiseñal frente a un modelo de una sola fuente, y evaluar el modelo entrenado con todas las fuentes de Madrid restringiendo la evaluación al sustrato europeo común (CAMS, AEMET, calendario) para estimar la pérdida al portar el enfoque a otra ciudad; los cuadernos que las ejecutarían ya están construidos (`modelado/evaluation/estudios/run_all.py`), solo falta el tiempo de cómputo y de redacción.</w:t>
      </w:r>
    </w:p>
    <w:p w14:paraId="2322B318" w14:textId="77777777" w:rsidR="007C0893" w:rsidRDefault="00000000">
      <w:pPr>
        <w:pStyle w:val="Ttulo1"/>
      </w:pPr>
      <w:bookmarkStart w:id="30" w:name="_Toc233752765"/>
      <w:r>
        <w:lastRenderedPageBreak/>
        <w:t>8. Anexos</w:t>
      </w:r>
      <w:bookmarkEnd w:id="30"/>
    </w:p>
    <w:p w14:paraId="053D5E84" w14:textId="77777777" w:rsidR="007C0893" w:rsidRDefault="00000000">
      <w:pPr>
        <w:spacing w:after="160" w:line="276" w:lineRule="auto"/>
        <w:jc w:val="both"/>
      </w:pPr>
      <w:r>
        <w:t>Anexo A. Resumen de categorías de fuentes de datos empleadas (movilidad y transporte, medioambiente, contexto urbano y enriquecimiento europeo), con su frecuencia de actualización y modo de ingesta.</w:t>
      </w:r>
    </w:p>
    <w:p w14:paraId="1E5F8ED0" w14:textId="77777777" w:rsidR="007C0893" w:rsidRDefault="00000000">
      <w:pPr>
        <w:spacing w:after="160" w:line="276" w:lineRule="auto"/>
        <w:jc w:val="both"/>
      </w:pPr>
      <w:r>
        <w:t xml:space="preserve">Anexo B. Glosario de términos técnicos y siglas (Kafka, </w:t>
      </w:r>
      <w:proofErr w:type="spellStart"/>
      <w:r>
        <w:t>lakehouse</w:t>
      </w:r>
      <w:proofErr w:type="spellEnd"/>
      <w:r>
        <w:t xml:space="preserve"> medallón, Delta, GNN, ONNX, MCP, RGPD).</w:t>
      </w:r>
    </w:p>
    <w:p w14:paraId="52F67AC5" w14:textId="77777777" w:rsidR="007C0893" w:rsidRDefault="00000000">
      <w:pPr>
        <w:spacing w:after="160" w:line="276" w:lineRule="auto"/>
        <w:jc w:val="both"/>
      </w:pPr>
      <w:proofErr w:type="spellStart"/>
      <w:proofErr w:type="spellEnd"/>
      <w:r>
        <w:t>Anexo C. Reproducibilidad del pipeline de modelado. `modelado/` se organiza en `features/` (feature store), `datasets/` (splits y snapshots de grafo), `models/` (líneas base, LightGBM, STGNN), `training/` (puntos de entrada de entrenamiento), `evaluation/` (métricas, deriva, backtest, estudios de la sección 7), `registry/` (MLflow) y `export/` (ONNX); el asistente consume una copia de los `.onnx` en `asistente/modelos/`. Entorno: Python 3.14, `pip install -r modelado/requirements.txt`; LightGBM necesita la librería de sistema `libgomp1` en Linux. Un comando por tabla o figura de la sección 7:</w:t>
      </w:r>
    </w:p>
    <w:p>
      <w:pPr>
        <w:pStyle w:val="Prrafodelista"/>
        <w:numPr>
          <w:ilvl w:val="0"/>
          <w:numId w:val="2"/>
        </w:numPr>
        <w:spacing w:after="60" w:line="268" w:lineRule="auto"/>
        <w:jc w:val="both"/>
      </w:pPr>
      <w:r>
        <w:t>Panel/feature store (`ML_01`): `python -m modelado.features.build --target &lt;fuente&gt; --desde &lt;fecha&gt; --hasta &lt;fecha&gt; --out &lt;ruta&gt;` (necesita credenciales AWS reales para Athena).</w:t>
      </w:r>
    </w:p>
    <w:p>
      <w:pPr>
        <w:pStyle w:val="Prrafodelista"/>
        <w:numPr>
          <w:ilvl w:val="0"/>
          <w:numId w:val="2"/>
        </w:numPr>
        <w:spacing w:after="60" w:line="268" w:lineRule="auto"/>
        <w:jc w:val="both"/>
      </w:pPr>
      <w:r>
        <w:t>Tier 1 + SHAP + registro MLflow (`ML_03`/`ML_04`): `python -m modelado.training.train_gbt --panel &lt;panel&gt; --nombre &lt;fuente&gt; --mlflow tier1`.</w:t>
      </w:r>
    </w:p>
    <w:p>
      <w:pPr>
        <w:pStyle w:val="Prrafodelista"/>
        <w:numPr>
          <w:ilvl w:val="0"/>
          <w:numId w:val="2"/>
        </w:numPr>
        <w:spacing w:after="60" w:line="268" w:lineRule="auto"/>
        <w:jc w:val="both"/>
      </w:pPr>
      <w:r>
        <w:t>Tier 2, GNN espacio-temporal (`ML_05`): `python -m modelado.training.train_stgnn --panel &lt;panel_grafo&gt; --nombre &lt;fuente&gt; --mlflow tier2`.</w:t>
      </w:r>
    </w:p>
    <w:p>
      <w:pPr>
        <w:pStyle w:val="Prrafodelista"/>
        <w:numPr>
          <w:ilvl w:val="0"/>
          <w:numId w:val="2"/>
        </w:numPr>
        <w:spacing w:after="60" w:line="268" w:lineRule="auto"/>
        <w:jc w:val="both"/>
      </w:pPr>
      <w:r>
        <w:t>Estudios consolidados de la sección 7 (`ML_08`): `python -m modelado.evaluation.estudios.run_all --mlflow estudios` — regenera la Tabla 3 y los JSON/figuras de explicabilidad.</w:t>
      </w:r>
    </w:p>
    <w:p>
      <w:pPr>
        <w:pStyle w:val="Prrafodelista"/>
        <w:numPr>
          <w:ilvl w:val="0"/>
          <w:numId w:val="2"/>
        </w:numPr>
        <w:spacing w:after="60" w:line="268" w:lineRule="auto"/>
        <w:jc w:val="both"/>
      </w:pPr>
      <w:r>
        <w:t>Informe de deriva (`ML_06`): `python -m modelado.evaluation.drift --panel &lt;panel&gt; --target &lt;fuente&gt;`.</w:t>
      </w:r>
    </w:p>
    <w:p>
      <w:pPr>
        <w:pStyle w:val="Prrafodelista"/>
        <w:numPr>
          <w:ilvl w:val="0"/>
          <w:numId w:val="2"/>
        </w:numPr>
        <w:spacing w:after="60" w:line="268" w:lineRule="auto"/>
        <w:jc w:val="both"/>
      </w:pPr>
      <w:r>
        <w:t>Backtest incremental (`ML_10`): `python -m modelado.evaluation.backtest --panel &lt;panel&gt; --target &lt;fuente&gt;` — genera la curva de skill frente a la fecha de corte.</w:t>
      </w:r>
    </w:p>
    <w:p>
      <w:pPr>
        <w:pStyle w:val="Prrafodelista"/>
        <w:numPr>
          <w:ilvl w:val="0"/>
          <w:numId w:val="2"/>
        </w:numPr>
        <w:spacing w:after="60" w:line="268" w:lineRule="auto"/>
        <w:jc w:val="both"/>
      </w:pPr>
      <w:r>
        <w:t>Export a ONNX y test de paridad (`ML_07`): `python -m modelado.export.to_onnx --modelo madrono-&lt;fuente&gt;-h&lt;h&gt; --panel &lt;panel&gt; --nombre &lt;fuente&gt;_h&lt;h&gt;`.</w:t>
      </w:r>
    </w:p>
    <w:p>
      <w:pPr>
        <w:pStyle w:val="Prrafodelista"/>
        <w:numPr>
          <w:ilvl w:val="0"/>
          <w:numId w:val="2"/>
        </w:numPr>
        <w:spacing w:after="60" w:line="268" w:lineRule="auto"/>
        <w:jc w:val="both"/>
      </w:pPr>
      <w:r>
        <w:t>Reentrenamiento nocturno (`ML_10`): `python -m modelado.training.retrain_nightly`, programado en producción con una línea de `cron` en la instancia del proyecto (sin recursos nuevos de AWS, véase 5.5).</w:t>
      </w:r>
    </w:p>
    <w:p>
      <w:pPr>
        <w:pStyle w:val="Prrafodelista"/>
        <w:numPr>
          <w:ilvl w:val="0"/>
          <w:numId w:val="2"/>
        </w:numPr>
        <w:spacing w:after="60" w:line="268" w:lineRule="auto"/>
        <w:jc w:val="both"/>
      </w:pPr>
      <w:r>
        <w:t>Aplicación web y chat (`FIL_62`/`FIL_63`): frontend en `https://d2obcdu8duk47f.cloudfront.net`, backend en `https://35-42-164-183.nip.io` (autenticación de demostración `demo`/`demo` en ambos).</w:t>
      </w:r>
    </w:p>
    <w:p>
      <w:pPr>
        <w:pStyle w:val="Prrafodelista"/>
        <w:numPr>
          <w:ilvl w:val="0"/>
          <w:numId w:val="2"/>
        </w:numPr>
        <w:spacing w:after="60" w:line="268" w:lineRule="auto"/>
        <w:jc w:val="both"/>
      </w:pPr>
      <w:r>
        <w:t>Visualización animada del grafo (`FIL_36`–`FIL_61`): publicada en `https://madrono-ucm.github.io/madronoTFM/`, regenerable con `python -m viz.build_mapa_animado`.</w:t>
      </w:r>
    </w:p>
    <w:p>
      <w:pPr>
        <w:pStyle w:val="Prrafodelista"/>
        <w:numPr>
          <w:ilvl w:val="0"/>
          <w:numId w:val="2"/>
        </w:numPr>
        <w:spacing w:after="60" w:line="268" w:lineRule="auto"/>
        <w:jc w:val="both"/>
      </w:pPr>
      <w:r>
        <w:t>Analítica de grafo (`FIL_52`/`FIL_64`/`FIL_81`): `python -m modelado.grafo_analitica.analisis` regenera `grafo_centralidad.{json,png}` y `grafo_resiliencia.{json,png}` (Figura 5) desde `grafo/_data/grafo_urbano.json.gz`.</w:t>
      </w:r>
    </w:p>
    <w:p>
      <w:pPr/>
      <w:r>
        <w:t>El registro de experimentos se consulta con `mlflow ui --backend-store-uri sqlite:///modelado/mlflow.db`. Los modelos `.onnx` de mayor tamaño y las carpetas de ejecución de MLflow no se versionan en git (son regenerables con los comandos anteriores); sí se versionan los CSV y JSON de `modelado/evaluation/artifacts/` que respaldan cada cifra de la sección 7.</w:t>
      </w:r>
    </w:p>
    <w:sectPr w:rsidR="007C0893" w:rsidSect="00E5030D">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25CE" w14:textId="77777777" w:rsidR="0024228C" w:rsidRDefault="0024228C">
      <w:r>
        <w:separator/>
      </w:r>
    </w:p>
  </w:endnote>
  <w:endnote w:type="continuationSeparator" w:id="0">
    <w:p w14:paraId="5061F675" w14:textId="77777777" w:rsidR="0024228C" w:rsidRDefault="00242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38D0" w14:textId="77777777" w:rsidR="007C089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5030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9186" w14:textId="77777777" w:rsidR="0024228C" w:rsidRDefault="0024228C">
      <w:r>
        <w:separator/>
      </w:r>
    </w:p>
  </w:footnote>
  <w:footnote w:type="continuationSeparator" w:id="0">
    <w:p w14:paraId="3E7926BA" w14:textId="77777777" w:rsidR="0024228C" w:rsidRDefault="00242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5570" w14:textId="00CCE5BF" w:rsidR="00E5030D" w:rsidRDefault="00E5030D">
    <w:pPr>
      <w:pStyle w:val="Encabezado"/>
    </w:pPr>
  </w:p>
  <w:p w14:paraId="3B657B20" w14:textId="77777777" w:rsidR="00E5030D" w:rsidRDefault="00E5030D" w:rsidP="00E5030D">
    <w:r>
      <w:rPr>
        <w:noProof/>
      </w:rPr>
      <w:drawing>
        <wp:anchor distT="0" distB="0" distL="114300" distR="114300" simplePos="0" relativeHeight="251659264" behindDoc="0" locked="0" layoutInCell="1" hidden="0" allowOverlap="1" wp14:anchorId="44432FF8" wp14:editId="609412A9">
          <wp:simplePos x="0" y="0"/>
          <wp:positionH relativeFrom="page">
            <wp:posOffset>1099185</wp:posOffset>
          </wp:positionH>
          <wp:positionV relativeFrom="page">
            <wp:posOffset>467870</wp:posOffset>
          </wp:positionV>
          <wp:extent cx="1572577" cy="407114"/>
          <wp:effectExtent l="0" t="0" r="0" b="0"/>
          <wp:wrapSquare wrapText="bothSides" distT="0" distB="0" distL="114300" distR="114300"/>
          <wp:docPr id="1217661468" name="image2.jpg" descr="Text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jpg" descr="Texto  El contenido generado por IA puede ser incorrecto."/>
                  <pic:cNvPicPr preferRelativeResize="0"/>
                </pic:nvPicPr>
                <pic:blipFill>
                  <a:blip r:embed="rId1"/>
                  <a:srcRect/>
                  <a:stretch>
                    <a:fillRect/>
                  </a:stretch>
                </pic:blipFill>
                <pic:spPr>
                  <a:xfrm>
                    <a:off x="0" y="0"/>
                    <a:ext cx="1572577" cy="407114"/>
                  </a:xfrm>
                  <a:prstGeom prst="rect">
                    <a:avLst/>
                  </a:prstGeom>
                  <a:ln/>
                </pic:spPr>
              </pic:pic>
            </a:graphicData>
          </a:graphic>
        </wp:anchor>
      </w:drawing>
    </w:r>
  </w:p>
  <w:p w14:paraId="522A6073" w14:textId="77777777" w:rsidR="00E5030D" w:rsidRDefault="00E5030D">
    <w:pPr>
      <w:pStyle w:val="Encabezado"/>
    </w:pPr>
  </w:p>
  <w:p w14:paraId="5C422670" w14:textId="77777777" w:rsidR="00E5030D" w:rsidRDefault="00E503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59D6"/>
    <w:multiLevelType w:val="hybridMultilevel"/>
    <w:tmpl w:val="AFB2D10A"/>
    <w:lvl w:ilvl="0" w:tplc="FE92B2F4">
      <w:start w:val="1"/>
      <w:numFmt w:val="bullet"/>
      <w:lvlText w:val="●"/>
      <w:lvlJc w:val="left"/>
      <w:pPr>
        <w:ind w:left="720" w:hanging="360"/>
      </w:pPr>
    </w:lvl>
    <w:lvl w:ilvl="1" w:tplc="C5B2E66E">
      <w:start w:val="1"/>
      <w:numFmt w:val="bullet"/>
      <w:lvlText w:val="○"/>
      <w:lvlJc w:val="left"/>
      <w:pPr>
        <w:ind w:left="1440" w:hanging="360"/>
      </w:pPr>
    </w:lvl>
    <w:lvl w:ilvl="2" w:tplc="B7C218E2">
      <w:start w:val="1"/>
      <w:numFmt w:val="bullet"/>
      <w:lvlText w:val="■"/>
      <w:lvlJc w:val="left"/>
      <w:pPr>
        <w:ind w:left="2160" w:hanging="360"/>
      </w:pPr>
    </w:lvl>
    <w:lvl w:ilvl="3" w:tplc="F03E4316">
      <w:start w:val="1"/>
      <w:numFmt w:val="bullet"/>
      <w:lvlText w:val="●"/>
      <w:lvlJc w:val="left"/>
      <w:pPr>
        <w:ind w:left="2880" w:hanging="360"/>
      </w:pPr>
    </w:lvl>
    <w:lvl w:ilvl="4" w:tplc="335EEDF4">
      <w:start w:val="1"/>
      <w:numFmt w:val="bullet"/>
      <w:lvlText w:val="○"/>
      <w:lvlJc w:val="left"/>
      <w:pPr>
        <w:ind w:left="3600" w:hanging="360"/>
      </w:pPr>
    </w:lvl>
    <w:lvl w:ilvl="5" w:tplc="5D445342">
      <w:start w:val="1"/>
      <w:numFmt w:val="bullet"/>
      <w:lvlText w:val="■"/>
      <w:lvlJc w:val="left"/>
      <w:pPr>
        <w:ind w:left="4320" w:hanging="360"/>
      </w:pPr>
    </w:lvl>
    <w:lvl w:ilvl="6" w:tplc="675818D2">
      <w:start w:val="1"/>
      <w:numFmt w:val="bullet"/>
      <w:lvlText w:val="●"/>
      <w:lvlJc w:val="left"/>
      <w:pPr>
        <w:ind w:left="5040" w:hanging="360"/>
      </w:pPr>
    </w:lvl>
    <w:lvl w:ilvl="7" w:tplc="88D006D8">
      <w:start w:val="1"/>
      <w:numFmt w:val="bullet"/>
      <w:lvlText w:val="●"/>
      <w:lvlJc w:val="left"/>
      <w:pPr>
        <w:ind w:left="5760" w:hanging="360"/>
      </w:pPr>
    </w:lvl>
    <w:lvl w:ilvl="8" w:tplc="F29AA81C">
      <w:start w:val="1"/>
      <w:numFmt w:val="bullet"/>
      <w:lvlText w:val="●"/>
      <w:lvlJc w:val="left"/>
      <w:pPr>
        <w:ind w:left="6480" w:hanging="360"/>
      </w:pPr>
    </w:lvl>
  </w:abstractNum>
  <w:abstractNum w:abstractNumId="1" w15:restartNumberingAfterBreak="0">
    <w:nsid w:val="625643BE"/>
    <w:multiLevelType w:val="hybridMultilevel"/>
    <w:tmpl w:val="2086033E"/>
    <w:lvl w:ilvl="0" w:tplc="B17C7D02">
      <w:start w:val="1"/>
      <w:numFmt w:val="bullet"/>
      <w:lvlText w:val="•"/>
      <w:lvlJc w:val="left"/>
      <w:pPr>
        <w:ind w:left="540" w:hanging="280"/>
      </w:pPr>
    </w:lvl>
    <w:lvl w:ilvl="1" w:tplc="29285744">
      <w:numFmt w:val="decimal"/>
      <w:lvlText w:val=""/>
      <w:lvlJc w:val="left"/>
    </w:lvl>
    <w:lvl w:ilvl="2" w:tplc="649E9862">
      <w:numFmt w:val="decimal"/>
      <w:lvlText w:val=""/>
      <w:lvlJc w:val="left"/>
    </w:lvl>
    <w:lvl w:ilvl="3" w:tplc="64406AD6">
      <w:numFmt w:val="decimal"/>
      <w:lvlText w:val=""/>
      <w:lvlJc w:val="left"/>
    </w:lvl>
    <w:lvl w:ilvl="4" w:tplc="0AD4AB9E">
      <w:numFmt w:val="decimal"/>
      <w:lvlText w:val=""/>
      <w:lvlJc w:val="left"/>
    </w:lvl>
    <w:lvl w:ilvl="5" w:tplc="425EA482">
      <w:numFmt w:val="decimal"/>
      <w:lvlText w:val=""/>
      <w:lvlJc w:val="left"/>
    </w:lvl>
    <w:lvl w:ilvl="6" w:tplc="C082BAD8">
      <w:numFmt w:val="decimal"/>
      <w:lvlText w:val=""/>
      <w:lvlJc w:val="left"/>
    </w:lvl>
    <w:lvl w:ilvl="7" w:tplc="78560A24">
      <w:numFmt w:val="decimal"/>
      <w:lvlText w:val=""/>
      <w:lvlJc w:val="left"/>
    </w:lvl>
    <w:lvl w:ilvl="8" w:tplc="87D8EDD8">
      <w:numFmt w:val="decimal"/>
      <w:lvlText w:val=""/>
      <w:lvlJc w:val="left"/>
    </w:lvl>
  </w:abstractNum>
  <w:num w:numId="1" w16cid:durableId="1670135375">
    <w:abstractNumId w:val="0"/>
    <w:lvlOverride w:ilvl="0">
      <w:startOverride w:val="1"/>
    </w:lvlOverride>
  </w:num>
  <w:num w:numId="2" w16cid:durableId="8377678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93"/>
    <w:rsid w:val="000251D1"/>
    <w:rsid w:val="00046FC8"/>
    <w:rsid w:val="0024228C"/>
    <w:rsid w:val="00271B83"/>
    <w:rsid w:val="0036647B"/>
    <w:rsid w:val="00620AB9"/>
    <w:rsid w:val="007C0893"/>
    <w:rsid w:val="00942030"/>
    <w:rsid w:val="009E429B"/>
    <w:rsid w:val="00B77EB9"/>
    <w:rsid w:val="00CD2316"/>
    <w:rsid w:val="00D40C82"/>
    <w:rsid w:val="00DE61FC"/>
    <w:rsid w:val="00E5030D"/>
    <w:rsid w:val="00F65D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BFCD7"/>
  <w15:docId w15:val="{17844565-CDB5-47F0-83AD-630C86C2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262626"/>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ageBreakBefore/>
      <w:spacing w:before="480" w:after="240"/>
      <w:outlineLvl w:val="0"/>
    </w:pPr>
    <w:rPr>
      <w:b/>
      <w:bCs/>
      <w:color w:val="FF860D"/>
      <w:sz w:val="32"/>
      <w:szCs w:val="32"/>
    </w:rPr>
  </w:style>
  <w:style w:type="paragraph" w:styleId="Ttulo2">
    <w:name w:val="heading 2"/>
    <w:uiPriority w:val="9"/>
    <w:unhideWhenUsed/>
    <w:qFormat/>
    <w:pPr>
      <w:keepNext/>
      <w:spacing w:before="240" w:after="120"/>
      <w:outlineLvl w:val="1"/>
    </w:pPr>
    <w:rPr>
      <w:b/>
      <w:bCs/>
      <w:color w:val="1F497D"/>
      <w:sz w:val="26"/>
      <w:szCs w:val="26"/>
    </w:rPr>
  </w:style>
  <w:style w:type="paragraph" w:styleId="Ttulo3">
    <w:name w:val="heading 3"/>
    <w:uiPriority w:val="9"/>
    <w:semiHidden/>
    <w:unhideWhenUsed/>
    <w:qFormat/>
    <w:pPr>
      <w:keepNext/>
      <w:spacing w:before="160" w:after="8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5030D"/>
    <w:pPr>
      <w:spacing w:after="100"/>
    </w:pPr>
  </w:style>
  <w:style w:type="paragraph" w:styleId="TDC2">
    <w:name w:val="toc 2"/>
    <w:basedOn w:val="Normal"/>
    <w:next w:val="Normal"/>
    <w:autoRedefine/>
    <w:uiPriority w:val="39"/>
    <w:unhideWhenUsed/>
    <w:rsid w:val="00E5030D"/>
    <w:pPr>
      <w:spacing w:after="100"/>
      <w:ind w:left="220"/>
    </w:pPr>
  </w:style>
  <w:style w:type="paragraph" w:styleId="Encabezado">
    <w:name w:val="header"/>
    <w:basedOn w:val="Normal"/>
    <w:link w:val="EncabezadoCar"/>
    <w:uiPriority w:val="99"/>
    <w:unhideWhenUsed/>
    <w:rsid w:val="00E5030D"/>
    <w:pPr>
      <w:tabs>
        <w:tab w:val="center" w:pos="4252"/>
        <w:tab w:val="right" w:pos="8504"/>
      </w:tabs>
    </w:pPr>
  </w:style>
  <w:style w:type="character" w:customStyle="1" w:styleId="EncabezadoCar">
    <w:name w:val="Encabezado Car"/>
    <w:basedOn w:val="Fuentedeprrafopredeter"/>
    <w:link w:val="Encabezado"/>
    <w:uiPriority w:val="99"/>
    <w:rsid w:val="00E5030D"/>
  </w:style>
  <w:style w:type="paragraph" w:styleId="Piedepgina">
    <w:name w:val="footer"/>
    <w:basedOn w:val="Normal"/>
    <w:link w:val="PiedepginaCar"/>
    <w:uiPriority w:val="99"/>
    <w:unhideWhenUsed/>
    <w:rsid w:val="00E5030D"/>
    <w:pPr>
      <w:tabs>
        <w:tab w:val="center" w:pos="4252"/>
        <w:tab w:val="right" w:pos="8504"/>
      </w:tabs>
    </w:pPr>
  </w:style>
  <w:style w:type="character" w:customStyle="1" w:styleId="PiedepginaCar">
    <w:name w:val="Pie de página Car"/>
    <w:basedOn w:val="Fuentedeprrafopredeter"/>
    <w:link w:val="Piedepgina"/>
    <w:uiPriority w:val="99"/>
    <w:rsid w:val="00E50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3281</Words>
  <Characters>18050</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TFM</dc:creator>
  <cp:lastModifiedBy>VICTOR RICARDO HUAMAN AQUINO</cp:lastModifiedBy>
  <cp:revision>16</cp:revision>
  <dcterms:created xsi:type="dcterms:W3CDTF">2026-06-30T20:57:00Z</dcterms:created>
  <dcterms:modified xsi:type="dcterms:W3CDTF">2026-06-30T21:34:00Z</dcterms:modified>
</cp:coreProperties>
</file>