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p w14:paraId="74FDEECA" w14:textId="77777777" w:rsidR="007C0893" w:rsidRDefault="00000000">
      <w:pPr>
        <w:spacing w:after="160" w:line="276" w:lineRule="auto"/>
        <w:jc w:val="both"/>
      </w:pPr>
      <w:r>
        <w:t>Con un equipo de solo dos personas, sostener ese ritmo iterativo sobre un sistema de este tamaño exigió automatizar buena parte del desarrollo rutinario. Se desplegó un agente autónomo de codificación (`madrono-agent`) como un servicio que corre de forma continua en una instancia EC2, dedicado a actuar como desarrollador y como agente de control de calidad de una cola de tareas. El diseño se apoya en tres decisiones deliberadas para que la autonomía no comprometiera la fiabilidad: (1) especificación por tarea — cada unidad de trabajo es un fichero markdown con contexto, alcance y criterios de aceptación explícitos, que es literalmente el enunciado que recibe el agente, de modo que "terminado" tiene una definición verificable y no una impresión subjetiva; (2) orden estricto y de una en una — las tareas llevan un número de secuencia que expresa sus dependencias, y el agente no empieza la siguiente hasta que la anterior está fusionada, lo que evita condiciones de carrera entre cambios relacionados; y (3) permisos acotados por defecto — el agente no puede aplicar cambios reales de infraestructura (`terraform apply`, creación de recursos AWS) salvo que una tarea lo autorice explícitamente, y sus Pull Requests solo se fusionan solos si la propia tarea lo marca y la batería de pruebas de integración continua termina en verde; si una tarea falla, el agente detiene toda la cola en vez de seguir sobre una base posiblemente rota, hasta que una persona la revisa.</w:t>
      </w:r>
    </w:p>
    <w:p w14:paraId="74FDEECA" w14:textId="77777777" w:rsidR="007C0893" w:rsidRDefault="00000000">
      <w:pPr>
        <w:spacing w:after="160" w:line="276" w:lineRule="auto"/>
        <w:jc w:val="both"/>
      </w:pPr>
      <w:r>
        <w:t>Ese mismo patrón de especificación por tarea se usó para una segunda cola, independiente de la del agente autónomo, dedicada explícitamente a control de calidad: verificar en detalle lo que la primera cola —y el propio equipo— habían construido, contra el estado real del sistema y no contra lo que los tickets asumían. Esa segunda cola es la que encontró y cerró, por ejemplo, todos los incidentes reales de ingeniería (véase 7.1): cada uno se abrió como una tarea con su propia especificación y sus propios criterios de aceptación, exactamente igual que el trabajo de construcción. Repartir el desarrollo y la verificación en dos colas disciplinadas por especificación, en vez de una sola lista de tareas informal, es lo que permitió a un equipo de dos personas mantener un ritmo de entrega alto sin renunciar a la verificación de cada pieza.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drawing>
          <wp:inline xmlns:a="http://schemas.openxmlformats.org/drawingml/2006/main" xmlns:pic="http://schemas.openxmlformats.org/drawingml/2006/picture">
            <wp:extent cx="5760720" cy="877672"/>
            <wp:docPr id="1217661469" name="Picture 1217661469"/>
            <wp:cNvGraphicFramePr>
              <a:graphicFrameLocks noChangeAspect="1"/>
            </wp:cNvGraphicFramePr>
            <a:graphic>
              <a:graphicData uri="http://schemas.openxmlformats.org/drawingml/2006/picture">
                <pic:pic>
                  <pic:nvPicPr>
                    <pic:cNvPr id="0" name="01_arquitectura.png"/>
                    <pic:cNvPicPr/>
                  </pic:nvPicPr>
                  <pic:blipFill>
                    <a:blip r:embed="rId15"/>
                    <a:stretch>
                      <a:fillRect/>
                    </a:stretch>
                  </pic:blipFill>
                  <pic:spPr>
                    <a:xfrm>
                      <a:off x="0" y="0"/>
                      <a:ext cx="5760720" cy="877672"/>
                    </a:xfrm>
                    <a:prstGeom prst="rect"/>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articula alrededor de un único backend conversacional —un servicio FastAPI que incorpora un agente MCP con diecinueve herramientas y un chat en lenguaje natural apoyado en un modelo de lenguaje servido vía Groq (nivel gratuito)—, accesible desde tres superficies públicas que comparten ese mismo backend: una aplicación de demostración (Amazon S3 + CloudFront, autenticación básica) y, sobre todo, el mapa animado y el explorador del grafo en vivo, publicados ambos en GitHub Pages con el chat incrustado directamente en la página (véase 6.7);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5FA2FBD5" w14:textId="77777777" w:rsidR="007C0893" w:rsidRDefault="00000000">
      <w:pPr>
        <w:spacing w:after="160" w:line="276" w:lineRule="auto"/>
        <w:jc w:val="both"/>
      </w:pPr>
      <w:proofErr w:type="spellStart"/>
      <w:proofErr w:type="spellEnd"/>
      <w:proofErr w:type="spellStart"/>
      <w:proofErr w:type="spellEnd"/>
      <w:r>
        <w:drawing>
          <wp:inline xmlns:a="http://schemas.openxmlformats.org/drawingml/2006/main" xmlns:pic="http://schemas.openxmlformats.org/drawingml/2006/picture">
            <wp:extent cx="5760720" cy="1291345"/>
            <wp:docPr id="1217661470" name="Picture 1217661470"/>
            <wp:cNvGraphicFramePr>
              <a:graphicFrameLocks noChangeAspect="1"/>
            </wp:cNvGraphicFramePr>
            <a:graphic>
              <a:graphicData uri="http://schemas.openxmlformats.org/drawingml/2006/picture">
                <pic:pic>
                  <pic:nvPicPr>
                    <pic:cNvPr id="0" name="02_pipeline_datos.png"/>
                    <pic:cNvPicPr/>
                  </pic:nvPicPr>
                  <pic:blipFill>
                    <a:blip r:embed="rId16"/>
                    <a:stretch>
                      <a:fillRect/>
                    </a:stretch>
                  </pic:blipFill>
                  <pic:spPr>
                    <a:xfrm>
                      <a:off x="0" y="0"/>
                      <a:ext cx="5760720" cy="1291345"/>
                    </a:xfrm>
                    <a:prstGeom prst="rect"/>
                  </pic:spPr>
                </pic:pic>
              </a:graphicData>
            </a:graphic>
          </wp:inline>
        </w:drawing>
      </w:r>
    </w:p>
    <w:p w14:paraId="5FA2FBD5" w14:textId="77777777" w:rsidR="007C0893" w:rsidRDefault="00000000">
      <w:pPr>
        <w:spacing w:after="160" w:line="276" w:lineRule="auto"/>
        <w:jc w:val="both"/>
      </w:pPr>
      <w:proofErr w:type="spellStart"/>
      <w:proofErr w:type="spellEnd"/>
      <w:proofErr w:type="spellStart"/>
      <w:proofErr w:type="spellEnd"/>
      <w:r>
        <w:t>Figura 2. Flujo de datos Bronze→Silver→Gold de cada fuente, con la puerta de calidad Great Expectations.</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508FC3DB" w14:textId="77777777" w:rsidR="007C0893" w:rsidRDefault="00000000">
      <w:pPr>
        <w:spacing w:after="160" w:line="276" w:lineRule="auto"/>
        <w:jc w:val="both"/>
      </w:pPr>
      <w:r>
        <w:drawing>
          <wp:inline xmlns:a="http://schemas.openxmlformats.org/drawingml/2006/main" xmlns:pic="http://schemas.openxmlformats.org/drawingml/2006/picture">
            <wp:extent cx="5760720" cy="1214794"/>
            <wp:docPr id="1217661473" name="Picture 1217661473"/>
            <wp:cNvGraphicFramePr>
              <a:graphicFrameLocks noChangeAspect="1"/>
            </wp:cNvGraphicFramePr>
            <a:graphic>
              <a:graphicData uri="http://schemas.openxmlformats.org/drawingml/2006/picture">
                <pic:pic>
                  <pic:nvPicPr>
                    <pic:cNvPr id="0" name="05_modelo_grafo.png"/>
                    <pic:cNvPicPr/>
                  </pic:nvPicPr>
                  <pic:blipFill>
                    <a:blip r:embed="rId19"/>
                    <a:stretch>
                      <a:fillRect/>
                    </a:stretch>
                  </pic:blipFill>
                  <pic:spPr>
                    <a:xfrm>
                      <a:off x="0" y="0"/>
                      <a:ext cx="5760720" cy="1214794"/>
                    </a:xfrm>
                    <a:prstGeom prst="rect"/>
                  </pic:spPr>
                </pic:pic>
              </a:graphicData>
            </a:graphic>
          </wp:inline>
        </w:drawing>
      </w:r>
    </w:p>
    <w:p w14:paraId="508FC3DB" w14:textId="77777777" w:rsidR="007C0893" w:rsidRDefault="00000000">
      <w:pPr>
        <w:spacing w:after="160" w:line="276" w:lineRule="auto"/>
        <w:jc w:val="both"/>
      </w:pPr>
      <w:r>
        <w:t>Figura 3. Modelo del grafo urbano: labels de nodo y tipos de relación, con el recuento real de cada uno.</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El diseño de esos nueve perfiles no es personalización genérica: cada peso refleja una vulnerabilidad diferencial reconocida por la evidencia de salud pública, no un ajuste arbitrario. `asma_epoc` y `sensible_aire` ponderan NO₂/O₃ muy por encima del resto (hasta 1,0 y 0,90 sobre 1) porque las guías OMS/UE ya señalan a las personas con enfermedad respiratoria crónica como el grupo de mayor riesgo ante picos de estos contaminantes; `infancia` sube el peso del tráfico —seguridad vial— y del NO₂ —pulmones en desarrollo—; `mayor` sube el ozono, más dañino combinado con el calor en personas mayores; `movilidad_reducida` es el único perfil que pondera la distancia por encima de la exposición (1,3 sobre 1) porque, para quien depende de una silla de ruedas o tiene autonomía de marcha limitada, un desvío para respirar aire algo más limpio no compensa recorrer más metros; y `trabajo_exterior` acepta rutas más largas porque su exposición ya es prolongada durante toda la jornada, no solo durante el trayecto. Son pesos de criterio experto, no una guía clínica individual (véase 7.4), pero convierten `ruta_saludable` y `mejor_hora_zona` en la única capacidad del proyecto pensada explícitamente para reducir una desigualdad real de exposición ambiental —quien más sufre la contaminación es, típicamente, quien menos puede elegir cuándo y por dónde moverse—, no solo para optimizar un trayecto.</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030559"/>
            <wp:docPr id="1217661471" name="Picture 1217661471"/>
            <wp:cNvGraphicFramePr>
              <a:graphicFrameLocks noChangeAspect="1"/>
            </wp:cNvGraphicFramePr>
            <a:graphic>
              <a:graphicData uri="http://schemas.openxmlformats.org/drawingml/2006/picture">
                <pic:pic>
                  <pic:nvPicPr>
                    <pic:cNvPr id="0" name="04_secuencia_consulta.png"/>
                    <pic:cNvPicPr/>
                  </pic:nvPicPr>
                  <pic:blipFill>
                    <a:blip r:embed="rId17"/>
                    <a:stretch>
                      <a:fillRect/>
                    </a:stretch>
                  </pic:blipFill>
                  <pic:spPr>
                    <a:xfrm>
                      <a:off x="0" y="0"/>
                      <a:ext cx="5760720" cy="2030559"/>
                    </a:xfrm>
                    <a:prstGeom prst="rect"/>
                  </pic:spPr>
                </pic:pic>
              </a:graphicData>
            </a:graphic>
          </wp:inline>
        </w:drawing>
      </w:r>
    </w:p>
    <w:p w14:paraId="7E65F268" w14:textId="77777777" w:rsidR="007C0893" w:rsidRDefault="00000000">
      <w:pPr>
        <w:spacing w:after="160" w:line="276" w:lineRule="auto"/>
        <w:jc w:val="both"/>
      </w:pPr>
      <w:r>
        <w:t>Figura 4. Secuencia de una consulta al asistente conversacional, de principio a fin.</w:t>
      </w:r>
    </w:p>
    <w:p w14:paraId="7E65F268" w14:textId="77777777" w:rsidR="007C0893" w:rsidRDefault="00000000">
      <w:pPr>
        <w:spacing w:after="160" w:line="276" w:lineRule="auto"/>
        <w:jc w:val="both"/>
      </w:pPr>
      <w:r>
        <w:t>Ese backend conversacional tiene además una cara de usuario de demostración independiente de cualquier cliente MCP externo: una aplicación web con landing de presentación, autenticación básica y el mismo chat, con el backend en la misma instancia EC2 del proyecto y el frontend estático servido desde Amazon S3 y CloudFront. La autenticación es deliberadamente básica y no sustituye a un sistema de usuarios real (véase 7.4).</w:t>
      </w:r>
    </w:p>
    <w:p w14:paraId="7E65F268" w14:textId="77777777" w:rsidR="007C0893" w:rsidRDefault="00000000">
      <w:pPr>
        <w:spacing w:after="160" w:line="276" w:lineRule="auto"/>
        <w:jc w:val="both"/>
      </w:pPr>
      <w:r>
        <w:t>Las dos superficies públicas de referencia, sin embargo, viven en GitHub Pages —gratuitas, sin autenticación y sin necesidad de una instancia dedicada al frontend— y ambas incorporan ya el mismo chat incrustado directamente en la página, no solo un enlace a la aplicación de demostración: el mapa animado, que recorre hora a hora los 1798 nodos de tráfico del grafo con la previsión de los modelos (tráfico y calidad del aire), resaltando las aristas más influyentes y un índice de salud por nodo, con una capa social y de accesibilidad de nueve perfiles de sensibilidad y bandas de referencia OMS/UE, generado íntegramente sin conexión a los sistemas en vivo; y el explorador del grafo urbano en vivo, que sí consulta Neo4j directamente y en solo lectura para mostrar nodos, aristas de transporte y vecindarios de proximidad reales en cada momento. En ambas superficies, el chat ya no es una caja negra: cada respuesta muestra una traza de qué herramientas del agente MCP se invocaron para construirla, y un catálogo de preguntas sugeridas ayuda a quien no conoce el sistema a empezar (Figura 4).</w:t>
      </w:r>
    </w:p>
    <w:p w14:paraId="7E65F268" w14:textId="77777777" w:rsidR="007C0893" w:rsidRDefault="00000000">
      <w:pPr>
        <w:spacing w:after="160" w:line="276" w:lineRule="auto"/>
        <w:jc w:val="both"/>
      </w:pPr>
      <w:r>
        <w:t>La Figura 5 resume el catálogo completo: qué familia de tools resuelve cada tipo de pregunta y contra qué sistema real consulta cada una.</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699102"/>
            <wp:docPr id="1217661474" name="Picture 1217661474"/>
            <wp:cNvGraphicFramePr>
              <a:graphicFrameLocks noChangeAspect="1"/>
            </wp:cNvGraphicFramePr>
            <a:graphic>
              <a:graphicData uri="http://schemas.openxmlformats.org/drawingml/2006/picture">
                <pic:pic>
                  <pic:nvPicPr>
                    <pic:cNvPr id="0" name="07_mcp_chat.png"/>
                    <pic:cNvPicPr/>
                  </pic:nvPicPr>
                  <pic:blipFill>
                    <a:blip r:embed="rId20"/>
                    <a:stretch>
                      <a:fillRect/>
                    </a:stretch>
                  </pic:blipFill>
                  <pic:spPr>
                    <a:xfrm>
                      <a:off x="0" y="0"/>
                      <a:ext cx="5760720" cy="2699102"/>
                    </a:xfrm>
                    <a:prstGeom prst="rect"/>
                  </pic:spPr>
                </pic:pic>
              </a:graphicData>
            </a:graphic>
          </wp:inline>
        </w:drawing>
      </w:r>
    </w:p>
    <w:p w14:paraId="7E65F268" w14:textId="77777777" w:rsidR="007C0893" w:rsidRDefault="00000000">
      <w:pPr>
        <w:spacing w:after="160" w:line="276" w:lineRule="auto"/>
        <w:jc w:val="both"/>
      </w:pPr>
      <w:r>
        <w:t>Figura 5. Catálogo de las 19 tools del agente MCP, agrupadas por familia, y las tres superficies que comparten el mismo chat.</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pPr/>
      <w:r>
        <w:t>La disciplina operativa no se limita a ese incidente. En ingesta, una librería compartida de Glue quedó apuntando a una clave de S3 basada en un hash de contenido ya borrado: 37 de los 48 jobs (77 %) fallaron en `LAUNCH ERROR` durante más de 28 horas seguidas, diagnosticado con llamadas reales a la API de AWS (no asumido) y corregido con una clave estable sin hash. Una revisión posterior encontró que la propia verificación de esa corrección había confundido «frescura por fecha» con «completitud por hora»: cinco datasets horarios se quedaron con 17-21 horas perdidas ese día. Se construyó un modo de backfill dedicado (`--backfill_fecha`) que rellenó las horas ausentes sin generar duplicados, verificado hueco a hueco en Athena; un sexto dataset se aceptó explícitamente incompleto —una limitación propia de su captura, no de este incidente— en vez de reportar una recuperación que no era real. Un tercer incidente, de infraestructura, encontró que el estado de Terraform había derivado de `main` en decenas de objetos desplegados por un permiso IAM ausente en el usuario de despliegue; revisado línea a línea antes de aplicar ningún cambio.</w:t>
      </w:r>
    </w:p>
    <w:p>
      <w:pPr/>
      <w:r>
        <w:t>El mismo rigor se exigió al resto de capas. En `modelado/`, el guardrail de promoción de modelos no es solo un diseño sobre el papel: en una ejecución real del reentrenamiento nocturno rechazó de hecho una versión peor (`calidad_aire` a 1 h, skill nuevo −0,003 frente al vigente) y promovió las cinco restantes; y el primer reentreno completo agotó la memoria de la instancia (3,7 GiB) al construir el panel de tráfico, resuelto con swap dedicado, no reduciendo el alcance del panel. En el agente MCP, el propio SDK bloqueaba con `421 Misdirected Request` a cualquier cliente externo por su protección anti-DNS-rebinding, un fallo que habría dejado inservible el servidor público; corregido y verificado con pruebas que fijan el código de estado exacto para cada caso (host no permitido → 421, host público permitido → error de sesión, nunca 421). Y en la capa conversacional, el modelo de lenguaje usado en un primer momento alucinaba nombres de herramienta e intentaba invocarlas de nuevo durante la redacción de la respuesta (`400 tool_use_failed`, respuestas vacías); diagnosticado y resuelto cambiando a un modelo que sigue el bucle de llamada a herramientas de forma estable, con una defensa adicional que filtra bloques de razonamiento (`&lt;think&gt;`) que algunos modelos filtran a la salida por error.</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drawing>
          <wp:inline xmlns:a="http://schemas.openxmlformats.org/drawingml/2006/main" xmlns:pic="http://schemas.openxmlformats.org/drawingml/2006/picture">
            <wp:extent cx="5760720" cy="1550024"/>
            <wp:docPr id="1217661472" name="Picture 1217661472"/>
            <wp:cNvGraphicFramePr>
              <a:graphicFrameLocks noChangeAspect="1"/>
            </wp:cNvGraphicFramePr>
            <a:graphic>
              <a:graphicData uri="http://schemas.openxmlformats.org/drawingml/2006/picture">
                <pic:pic>
                  <pic:nvPicPr>
                    <pic:cNvPr id="0" name="03_pipeline_ml.png"/>
                    <pic:cNvPicPr/>
                  </pic:nvPicPr>
                  <pic:blipFill>
                    <a:blip r:embed="rId18"/>
                    <a:stretch>
                      <a:fillRect/>
                    </a:stretch>
                  </pic:blipFill>
                  <pic:spPr>
                    <a:xfrm>
                      <a:off x="0" y="0"/>
                      <a:ext cx="5760720" cy="1550024"/>
                    </a:xfrm>
                    <a:prstGeom prst="rect"/>
                  </pic:spPr>
                </pic:pic>
              </a:graphicData>
            </a:graphic>
          </wp:inline>
        </w:drawing>
      </w:r>
    </w:p>
    <w:p w14:paraId="1913F1D1" w14:textId="77777777" w:rsidR="007C0893" w:rsidRDefault="00000000">
      <w:pPr>
        <w:spacing w:before="80" w:after="200"/>
        <w:jc w:val="center"/>
      </w:pPr>
      <w:r>
        <w:t>Figura 6. Pipeline de modelado: del feature store al modelo servido por el asistente.</w:t>
      </w:r>
    </w:p>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drawing>
          <wp:inline xmlns:a="http://schemas.openxmlformats.org/drawingml/2006/main" xmlns:pic="http://schemas.openxmlformats.org/drawingml/2006/picture">
            <wp:extent cx="5760720" cy="1944243"/>
            <wp:docPr id="1217661475" name="Picture 1217661475"/>
            <wp:cNvGraphicFramePr>
              <a:graphicFrameLocks noChangeAspect="1"/>
            </wp:cNvGraphicFramePr>
            <a:graphic>
              <a:graphicData uri="http://schemas.openxmlformats.org/drawingml/2006/picture">
                <pic:pic>
                  <pic:nvPicPr>
                    <pic:cNvPr id="0" name="06_analitica_grafo.png"/>
                    <pic:cNvPicPr/>
                  </pic:nvPicPr>
                  <pic:blipFill>
                    <a:blip r:embed="rId21"/>
                    <a:stretch>
                      <a:fillRect/>
                    </a:stretch>
                  </pic:blipFill>
                  <pic:spPr>
                    <a:xfrm>
                      <a:off x="0" y="0"/>
                      <a:ext cx="5760720" cy="1944243"/>
                    </a:xfrm>
                    <a:prstGeom prst="rect"/>
                  </pic:spPr>
                </pic:pic>
              </a:graphicData>
            </a:graphic>
          </wp:inline>
        </w:drawing>
      </w:r>
    </w:p>
    <w:p>
      <w:pPr/>
      <w:r>
        <w:t>Figura 7. Pipeline de analítica de grafo: del snapshot offline a los artefactos que consumen el explorador en vivo y esta memoria.</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8).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8. Curva de robustez de la red de transporte modelada: fracción del fragmento mayor frente a % de paradas eliminadas, ataque dirigido aproximado (línea sólida, recálculo de intermediación por lotes)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8)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