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rPr>
          <w:noProof/>
        </w:rPr>
        <w:drawing>
          <wp:inline distT="0" distB="0" distL="0" distR="0" wp14:anchorId="54D0B869" wp14:editId="663F7866">
            <wp:extent cx="5143500" cy="4133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133850"/>
                    </a:xfrm>
                    <a:prstGeom prst="rect">
                      <a:avLst/>
                    </a:prstGeom>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veintitrés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combina un servicio FastAPI que incorpora un agente MCP con diecinueve herramientas y una aplicación web propia —landing, autenticación de demostración y un chat en lenguaje natural apoyado en un modelo de lenguaje servido vía Groq (nivel gratuito)—, desplegada sobre la misma instancia EC2 del proyecto y con el frontend estático servido desde Amazon S3 y CloudFront;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está diseñado para programarse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ha verificado manualmente y se ejecuta por separado del resto del pipeline, mediante una tarea `cron` en la propia instancia —sin crear infraestructura nueva—, que reconstruye el panel de datos, reentrena, evalúa contra el modelo vigente y solo promueve la nueva versión si no empeora; está instalado y verificado en producción con una ejecución real forzada (seis modelos reentrenados y registrados, guardrail de promoción probado), aunque con la ingesta congelada (véase 7.4) su efecto hasta la entrega es mantener el modelo vigente, no incorporar historia nueva.</w:t>
      </w:r>
    </w:p>
    <w:p>
      <w:pPr/>
      <w:r>
        <w:t>La gestión de credenciales en producción pasó de llevar el secreto en claro en la variable de entorno de la función Lambda a leerlo de AWS SSM Parameter Store como `SecureString` en tiempo de ejecución: los cuatro productores con credencial externa (AEMET, Bluesky, CAMS y transporte público EMT) solo llevan ya la ruta al parámetro, con una política IAM de `ssm:GetParameter` acotada a los seis ARN concretos que necesitan, sin comodines. Verificado con una invocación real de `cams_calidad_aire` en producción que confirma que la variable de entorno ya no contiene el secreto.</w:t>
      </w:r>
    </w:p>
    <w:p>
      <w:pPr/>
      <w:r>
        <w:t>La salud del pipeline se vigila con una regla de Amazon EventBridge que detecta en tiempo real cualquier job de AWS Glue en estado `FAILED`, `TIMEOUT` o `ERROR`, activa en producción. El canal de notificación —un topic de Amazon SNS— queda sin desplegar por una limitación de permisos IAM ajena al diseño (el único servicio sin política `*FullAccess` en el usuario de despliegue) y por decisión explícita del equipo de que el diseño y la regla activa bastan para el alcance de este trabajo; el canal de aviso queda como último paso de despliegue (véase 7.4).</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508FC3DB" w14:textId="77777777" w:rsidR="007C0893" w:rsidRDefault="00000000">
      <w:pPr>
        <w:spacing w:after="160" w:line="276" w:lineRule="auto"/>
        <w:jc w:val="both"/>
      </w:pPr>
      <w:r>
        <w:t>El grafo urbano se ha densificado en varias iteraciones sin romper compatibilidad: parte de un índice espacial mínimo (lugares, estaciones de medida, paradas de transporte, barrios y distritos) y ha ido incorporando nodos de nuevos tipos (estaciones meteorológicas, recintos de eventos) y atributos por entidad leídos de la capa Gold sin reingesta (qué contaminantes mide cada estación de aire, capacidades de aparcamiento y de anclaje BiciMAD, subárea de tráfico, nombre). El patrón es siempre el mismo: las entidades geolocalizadas y estables se modelan como nodos del grafo —«dónde y qué hay cerca»—, mientras que sus series de medidas en el tiempo quedan en las tablas Gold —«qué valor, en el tiempo»—, y los modelos de `modelado/` predicen sobre esas series —«qué valor tendrá»—. Fuentes sin una entidad geolocalizada y estable que modelar —`agenda_eventos` (eventos puntuales, no lugares fijos), `aforos_peatones_bicicletas` (fuente municipal descontinuada, solo histórico) y `transporte_publico_emt` (una única parada capturada, véase 7.4)— no aportan nodos propios al grafo por esa misma razón, no por una omisión.</w:t>
      </w:r>
    </w:p>
    <w:p w14:paraId="508FC3DB" w14:textId="77777777" w:rsidR="007C0893" w:rsidRDefault="00000000">
      <w:pPr>
        <w:spacing w:after="160" w:line="276" w:lineRule="auto"/>
        <w:jc w:val="both"/>
      </w:pPr>
      <w:r>
        <w:t>A fecha de esta memoria, la instancia real contiene 9812 nodos —4867 `EstacionMedida` (tráfico, calidad del aire, ruido, meteorología, aforos), 4056 `ParadaTransporte`, 737 `Lugar` (puntos de interés, parques, recintos, aparcamientos, cines), 131 `Barrio` y 21 `Distrito`— y 76156 relaciones de cuatro tipos (`PROXIMO_A`, `CONECTADO_CON`, `UBICADO_EN`, `PERTENECE_A`), verificadas con consultas de solo lectura contra la instancia AuraDB real.</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diecinueve herramientas reales, ninguna con lógica pendiente, agrupadas en tres familias: estado actual sobre la última fila disponible de Gold o del grafo (`calidad_aire`, `trafico_cercano`, `afluencia_estimada`, `disponibilidad_aparcamiento`, `eventos_cercanos`, `opciones_movilidad`, `meteo_cercana`, `avisos_meteo`); previsión y contraste, anclados a la última lectura real (`calidad_aire_prevista` y `trafico_prevista`, LightGBM exportado a ONNX; `calidad_aire_prevista_grafo` y `trafico_prevista_grafo`, el modelo de grafo STGNN servido desde su registro nativo al no exportar a ONNX —véase 5.3—, con la importancia de arista como explicación; `calidad_aire_episodio`, probabilidad de superar un umbral OMS/UE por contaminante y horizonte; `calidad_aire_cams`, contraste frente a la previsión europea de Copernicus; `afluencia_prevista`, señal derivada por persistencia y por la previsión de tráfico); y consulta relacional sobre el grafo urbano (`ruta_saludable`, ruta saludable frente a ruta rápida con reducción de exposición y mejor hora; `contexto_urbano`, barrio/distrito y entorno a uno y dos saltos; `consulta_grafo`, ocho plantillas Cypher de solo lectura parametrizadas, sin Cypher libre; `mejor_hora_zona`, la capa social y de accesibilidad del proyecto, con nueve perfiles de sensibilidad —general, ciclista, sensible al aire o al ruido, asma/EPOC, mayor, infancia, movilidad reducida y trabajo exterior— sobre bandas de referencia OMS/UE). Todas están verificadas de extremo a extremo contra los sistemas reales del proyecto (Athena, Neo4j y, para la previsión, los modelos servidos),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7E65F268" w14:textId="77777777" w:rsidR="007C0893" w:rsidRDefault="00000000">
      <w:pPr>
        <w:spacing w:after="160" w:line="276" w:lineRule="auto"/>
        <w:jc w:val="both"/>
      </w:pPr>
      <w:r>
        <w:t>Desde el 2 de septiembre de 2026, el asistente tiene además una cara de usuario propia, sin depender de un cliente MCP externo: una aplicación web con una landing de presentación, autenticación de demostración y un chat en lenguaje natural. El chat se apoya en un modelo de lenguaje servido vía Groq (nivel gratuito, proveedor y modelo configurables por entorno) con llamada a herramientas: el modelo decide qué herramientas del agente MCP invocar, estas se ejecutan contra los sistemas reales del proyecto y el resultado vuelve al modelo para redactar la respuesta en prosa. El backend corre en la misma instancia EC2 del proyecto, sin coste adicional, y el frontend —una página estática sin proceso de compilación— se sirve desde Amazon S3 a través de CloudFront. La autenticación es deliberadamente básica y no sustituye a un sistema de usuarios real (véase 7.4).</w:t>
      </w:r>
    </w:p>
    <w:p w14:paraId="7E65F268" w14:textId="77777777" w:rsidR="007C0893" w:rsidRDefault="00000000">
      <w:pPr>
        <w:spacing w:after="160" w:line="276" w:lineRule="auto"/>
        <w:jc w:val="both"/>
      </w:pPr>
      <w:r>
        <w:t>Como segunda superficie de explotación, complementaria al asistente, el proyecto publica una visualización animada del grafo urbano: sus 1798 nodos de tráfico se recorren hora a hora con la previsión de los modelos de grafo (tráfico y calidad del aire), resaltando las aristas más influyentes y un índice de salud por nodo. Incorpora además una capa social y de accesibilidad con los mismos nueve perfiles de sensibilidad que `mejor_hora_zona`, bandas de referencia OMS/UE y métricas de dosis de exposición acumulada. Se genera íntegramente sin conexión a los sistemas en vivo —a partir de los modelos ONNX vendorizados y una foto fija de la capa Gold—, lo que permite publicarla como sitio estático en GitHub Pages sin necesidad de credenciales.</w:t>
      </w:r>
    </w:p>
    <w:p w14:paraId="7E65F268" w14:textId="77777777" w:rsidR="007C0893" w:rsidRDefault="00000000">
      <w:pPr>
        <w:spacing w:after="160" w:line="276" w:lineRule="auto"/>
        <w:jc w:val="both"/>
      </w:pPr>
      <w:r>
        <w:t>Una tercera superficie, de perfil más técnico, es un explorador del grafo urbano en vivo: a diferencia del mapa animado, consulta Neo4j directamente y en solo lectura para mostrar nodos, aristas de transporte y vecindarios de proximidad reales en cada momento, con el mismo chat del asistente incrustado sobre el propio mapa para explorar la ciudad conversando.</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19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pPr/>
      <w:r>
        <w:t>Sobre el mismo grafo urbano se ha ejecutado una analítica estructural independiente de los modelos predictivos, con `networkx` de forma completamente offline sobre una foto fija del grafo (sin `Graph Data Science`, sin llamadas a Neo4j en caliente). Centralidad de intermediación (*betweenness*) y PageRank, junto con la detección de comunidades de Louvain sobre el subgrafo de proximidad espacial, identifican como puntos de paso obligado nodos con un perfil distinto al de mayor grado —Canillejas, Metro O'Donnell y Aeropuerto T1 por intermediación, frente a Castellana-José Vasconcelos, Santo Domingo y Plaza Castilla por PageRank, coherente con ser paradas EMT de alto grado—; las 54 comunidades detectadas capturan razonablemente la geografía real de los 131 barrios (NMI=0,75) sin ser una partición idéntica (ARI=0,36), como es esperable de un algoritmo que no conoce los límites administrativos.</w:t>
      </w:r>
    </w:p>
    <w:p>
      <w:pPr/>
      <w:r>
        <w:t>Sobre la red de transporte modelada (`CONECTADO_CON`), un análisis de resiliencia estructural cuantifica además su fragilidad: 683 puntos de articulación y un 20 % de los tramos sin ninguna alternativa (puentes), coherente con una red poco mallada (`k_max=2`). Un ataque dirigido a las paradas de mayor intermediación fragmenta la red mucho más deprisa que un fallo aleatorio equivalente: al 5 % de bajas, el fragmento mayor cae a un 39,6 % de la red intacta frente a un 89,1 % bajo fallo aleatorio (Figura 2). Esta cifra usa un recálculo de intermediación por lotes (cada 25 bajas) por coste computacional —una aproximación estándar en el estudio de robustez de redes— que, verificado en un subgrafo de contraste, subestima el daño real; el 39,6 % es por tanto una cota optimista de la fragilidad, no un valor ajustado, aunque el hallazgo cualitativo —la vulnerabilidad estructural real de una red modelada con un único viaje representativo por línea, véase 5.3 y 6.6— se sostiene con independencia de esa aproximación.</w:t>
      </w:r>
    </w:p>
    <w:p>
      <w:pPr/>
      <w:r>
        <w:drawing>
          <wp:inline xmlns:a="http://schemas.openxmlformats.org/drawingml/2006/main" xmlns:pic="http://schemas.openxmlformats.org/drawingml/2006/picture">
            <wp:extent cx="5486400" cy="1536192"/>
            <wp:docPr id="1217661468" name="Picture 1217661468"/>
            <wp:cNvGraphicFramePr>
              <a:graphicFrameLocks noChangeAspect="1"/>
            </wp:cNvGraphicFramePr>
            <a:graphic>
              <a:graphicData uri="http://schemas.openxmlformats.org/drawingml/2006/picture">
                <pic:pic>
                  <pic:nvPicPr>
                    <pic:cNvPr id="0" name="grafo_resiliencia.png"/>
                    <pic:cNvPicPr/>
                  </pic:nvPicPr>
                  <pic:blipFill>
                    <a:blip r:embed="rId14"/>
                    <a:stretch>
                      <a:fillRect/>
                    </a:stretch>
                  </pic:blipFill>
                  <pic:spPr>
                    <a:xfrm>
                      <a:off x="0" y="0"/>
                      <a:ext cx="5486400" cy="1536192"/>
                    </a:xfrm>
                    <a:prstGeom prst="rect"/>
                  </pic:spPr>
                </pic:pic>
              </a:graphicData>
            </a:graphic>
          </wp:inline>
        </w:drawing>
      </w:r>
    </w:p>
    <w:p>
      <w:pPr/>
      <w:r>
        <w:t>Figura 2. Curva de robustez de la red de transporte modelada: fracción del fragmento mayor frente a % de paradas eliminadas, ataque dirigido aproximado (línea sólida, recálculo de intermediación por lotes) vs aleatorio (línea discontinua).</w:t>
      </w:r>
    </w:p>
    <w:p>
      <w:pPr/>
      <w:r>
        <w:t>La conectividad del grafo también ayuda a leer la explicabilidad del modelo de tráfico: la correlación entre la importancia de arista que asigna el STGNN (véase 7.3) y el grado en `PROXIMO_A` de sus sensores extremo pasó de una tendencia débil y no significativa (ρ=0,34, p=0,22) a una correlación moderada y significativa (ρ=0,64, p&lt;0,01) al densificar el grafo con los atributos de `FIL_66` — indicio de que el modelo tiende a apoyarse en sensores mejor conectados con otras señales urbanas, aunque con solo 15 aristas de referencia el resultado es indicativo, no concluyente.</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entre el 14 y el 29 de agosto de 2026 —unas dos semanas—: la ingesta en continuo se congeló deliberadamente el 30 de agosto para contener el coste y fijar el estado del sistema antes de la entrega, con una única ventana de mantenimiento de unos 24 minutos el 1 de septiembre para aplicar y verificar los cambios de seguridad y observabilidad descritos en 5.5. El reentrenamiento nocturno está desplegado y operativo, pero, con la ingesta congelada, reentrena sobre la misma ventana de datos en vez de ampliarla.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 El mecanismo de reentrenamiento nocturno que alimentaría esa curva en producción está construido, verificado y desplegado en producción mediante una tarea `cron` diaria en la instancia del proyecto; con la ingesta congelada (véase el primer punto de esta lista), su efecto práctico hasta la entrega es mantener el modelo vigente frente a la misma ventana de datos, no incorporar historia nueva.</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pPr>
        <w:pStyle w:val="Prrafodelista"/>
        <w:numPr>
          <w:ilvl w:val="0"/>
          <w:numId w:val="2"/>
        </w:numPr>
        <w:spacing w:after="60" w:line="268" w:lineRule="auto"/>
        <w:jc w:val="both"/>
      </w:pPr>
      <w:r>
        <w:t>La observabilidad del pipeline está diseñada y parcialmente desplegada: la regla de EventBridge que detecta fallos de Glue está activa en producción, pero el canal de notificación (un topic SNS) no se ha desplegado por una limitación de permisos IAM del despliegue, no por una carencia de diseño; el equipo decidió que basta con la regla activa para el alcance de esta entrega.</w:t>
      </w:r>
    </w:p>
    <w:p>
      <w:pPr>
        <w:pStyle w:val="Prrafodelista"/>
        <w:numPr>
          <w:ilvl w:val="0"/>
          <w:numId w:val="2"/>
        </w:numPr>
        <w:spacing w:after="60" w:line="268" w:lineRule="auto"/>
        <w:jc w:val="both"/>
      </w:pPr>
      <w:r>
        <w:t>La autenticación de la aplicación web es una autenticación básica de demostración (usuario y contraseña únicos y compartidos), suficiente para verificar el flujo de extremo a extremo pero no un sistema de usuarios apto para un despliegue productivo real.</w:t>
      </w:r>
    </w:p>
    <w:p>
      <w:pPr>
        <w:pStyle w:val="Prrafodelista"/>
        <w:numPr>
          <w:ilvl w:val="0"/>
          <w:numId w:val="2"/>
        </w:numPr>
        <w:spacing w:after="60" w:line="268" w:lineRule="auto"/>
        <w:jc w:val="both"/>
      </w:pPr>
      <w:r>
        <w:t>Los atributos por entidad incorporados al grafo urbano (contaminantes, magnitudes meteorológicas, subárea de tráfico, capacidades) ya no dependen de una ventana reciente sobre el reloj real (`FIL_89`: la versión anterior perdía datos en silencio a partir del 13-14 de septiembre, días antes de la entrega, por acotar el escaneo a los últimos 14 días sobre `current_date`; corregido para escanear el histórico completo, coherente con la ingesta ya congelada). Contaminantes (23/23) y magnitudes meteorológicas (25/25) salen completos; la subárea de tráfico cubre 4439 de 4705 puntos (94 %) tras la corrección —verificado que los 266 restantes nunca han reportado subárea en ninguna de sus ~350 lecturas horarias desde el 15 de agosto, una característica real de esos puntos en la fuente, no un artefacto de ventana—; persisten 4 aparcamientos con capacidad nula ya en la propia capa Gold, tampoco relacionado con ninguna ventana temporal.</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sigue bloqueado por una limitación de `torch.export` con su bucle temporal (variable según el número de nodos); mientras tanto, el modelo ya se sirve en producción desde su registro nativo en las tools `calidad_aire_prevista_grafo` y `trafico_prevista_grafo` (véase 6.7), así que el export a ONNX aportaría portabilidad y un arranque más ligero, no una capacidad nueva.</w:t>
      </w:r>
    </w:p>
    <w:p>
      <w:pPr>
        <w:pStyle w:val="Prrafodelista"/>
        <w:numPr>
          <w:ilvl w:val="0"/>
          <w:numId w:val="2"/>
        </w:numPr>
        <w:spacing w:after="60" w:line="268" w:lineRule="auto"/>
        <w:jc w:val="both"/>
      </w:pPr>
      <w:r>
        <w:t>Ejecutar las dos ablaciones descartadas en 7.3 por tiempo: comparar la fusión multiseñal frente a un modelo de una sola fuente, y evaluar el modelo entrenado con todas las fuentes de Madrid restringiendo la evaluación al sustrato europeo común (CAMS, AEMET, calendario) para estimar la pérdida al portar el enfoque a otra ciudad; los cuadernos que las ejecutarían ya están construidos (`modelado/evaluation/estudios/run_all.py`), solo falta el tiempo de cómputo y de redacción.</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pStyle w:val="Prrafodelista"/>
        <w:numPr>
          <w:ilvl w:val="0"/>
          <w:numId w:val="2"/>
        </w:numPr>
        <w:spacing w:after="60" w:line="268" w:lineRule="auto"/>
        <w:jc w:val="both"/>
      </w:pPr>
      <w:r>
        <w:t>Aplicación web y chat (`FIL_62`/`FIL_63`): frontend en `https://d2obcdu8duk47f.cloudfront.net`, backend en `https://35-42-164-183.nip.io` (autenticación de demostración `demo`/`demo` en ambos).</w:t>
      </w:r>
    </w:p>
    <w:p>
      <w:pPr>
        <w:pStyle w:val="Prrafodelista"/>
        <w:numPr>
          <w:ilvl w:val="0"/>
          <w:numId w:val="2"/>
        </w:numPr>
        <w:spacing w:after="60" w:line="268" w:lineRule="auto"/>
        <w:jc w:val="both"/>
      </w:pPr>
      <w:r>
        <w:t>Visualización animada del grafo (`FIL_36`–`FIL_61`): publicada en `https://madrono-ucm.github.io/madronoTFM/`, regenerable con `python -m viz.build_mapa_animado`.</w:t>
      </w:r>
    </w:p>
    <w:p>
      <w:pPr>
        <w:pStyle w:val="Prrafodelista"/>
        <w:numPr>
          <w:ilvl w:val="0"/>
          <w:numId w:val="2"/>
        </w:numPr>
        <w:spacing w:after="60" w:line="268" w:lineRule="auto"/>
        <w:jc w:val="both"/>
      </w:pPr>
      <w:r>
        <w:t>Analítica de grafo (`FIL_52`/`FIL_64`/`FIL_81`): `python -m modelado.grafo_analitica.analisis` regenera `grafo_centralidad.{json,png}` y `grafo_resiliencia.{json,png}` (Figura 2) desde `grafo/_data/grafo_urbano.json.gz`.</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