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p w14:paraId="74FDEECA" w14:textId="77777777" w:rsidR="007C0893" w:rsidRDefault="00000000">
      <w:pPr>
        <w:spacing w:after="160" w:line="276" w:lineRule="auto"/>
        <w:jc w:val="both"/>
      </w:pPr>
      <w:r>
        <w:t>Con un equipo de solo dos personas, sostener ese ritmo iterativo sobre un sistema de este tamaño exigió automatizar buena parte del desarrollo rutinario. Se desplegó un agente autónomo de codificación (`madrono-agent`) como un servicio que corre de forma continua en una instancia EC2, dedicado a actuar como desarrollador y como agente de control de calidad de una cola de tareas. El diseño se apoya en tres decisiones deliberadas para que la autonomía no comprometiera la fiabilidad: (1) especificación por tarea — cada unidad de trabajo es un fichero markdown con contexto, alcance y criterios de aceptación explícitos, que es literalmente el enunciado que recibe el agente, de modo que "terminado" tiene una definición verificable y no una impresión subjetiva; (2) orden estricto y de una en una — las tareas llevan un número de secuencia que expresa sus dependencias, y el agente no empieza la siguiente hasta que la anterior está fusionada, lo que evita condiciones de carrera entre cambios relacionados; y (3) permisos acotados por defecto — el agente no puede aplicar cambios reales de infraestructura (`terraform apply`, creación de recursos AWS) salvo que una tarea lo autorice explícitamente, y sus Pull Requests solo se fusionan solos si la propia tarea lo marca y la batería de pruebas de integración continua termina en verde; si una tarea falla, el agente detiene toda la cola en vez de seguir sobre una base posiblemente rota, hasta que una persona la revisa.</w:t>
      </w:r>
    </w:p>
    <w:p w14:paraId="74FDEECA" w14:textId="77777777" w:rsidR="007C0893" w:rsidRDefault="00000000">
      <w:pPr>
        <w:spacing w:after="160" w:line="276" w:lineRule="auto"/>
        <w:jc w:val="both"/>
      </w:pPr>
      <w:r>
        <w:t>Ese mismo patrón de especificación por tarea se usó para una segunda cola, independiente de la del agente autónomo, dedicada explícitamente a control de calidad: verificar en detalle lo que la primera cola —y el propio equipo— habían construido, contra el estado real del sistema y no contra lo que los tickets asumían. Esa segunda cola es la que encontró y cerró, por ejemplo, todos los incidentes reales de ingeniería (véase 7.1): cada uno se abrió como una tarea con su propia especificación y sus propios criterios de aceptación, exactamente igual que el trabajo de construcción. Repartir el desarrollo y la verificación en dos colas disciplinadas por especificación, en vez de una sola lista de tareas informal, es lo que permitió a un equipo de dos personas mantener un ritmo de entrega alto sin renunciar a la verificación de cada pieza.</w:t>
      </w:r>
    </w:p>
    <w:p w14:paraId="74FDEECA" w14:textId="77777777" w:rsidR="007C0893" w:rsidRDefault="00000000">
      <w:pPr>
        <w:spacing w:after="160" w:line="276" w:lineRule="auto"/>
        <w:jc w:val="both"/>
      </w:pPr>
      <w:r>
        <w:drawing>
          <wp:inline xmlns:a="http://schemas.openxmlformats.org/drawingml/2006/main" xmlns:pic="http://schemas.openxmlformats.org/drawingml/2006/picture">
            <wp:extent cx="5760720" cy="850895"/>
            <wp:docPr id="1217661476" name="Picture 1217661476"/>
            <wp:cNvGraphicFramePr>
              <a:graphicFrameLocks noChangeAspect="1"/>
            </wp:cNvGraphicFramePr>
            <a:graphic>
              <a:graphicData uri="http://schemas.openxmlformats.org/drawingml/2006/picture">
                <pic:pic>
                  <pic:nvPicPr>
                    <pic:cNvPr id="0" name="08_framework_agentes.png"/>
                    <pic:cNvPicPr/>
                  </pic:nvPicPr>
                  <pic:blipFill>
                    <a:blip r:embed="rId22"/>
                    <a:stretch>
                      <a:fillRect/>
                    </a:stretch>
                  </pic:blipFill>
                  <pic:spPr>
                    <a:xfrm>
                      <a:off x="0" y="0"/>
                      <a:ext cx="5760720" cy="850895"/>
                    </a:xfrm>
                    <a:prstGeom prst="rect"/>
                  </pic:spPr>
                </pic:pic>
              </a:graphicData>
            </a:graphic>
          </wp:inline>
        </w:drawing>
      </w:r>
    </w:p>
    <w:p w14:paraId="74FDEECA" w14:textId="77777777" w:rsidR="007C0893" w:rsidRDefault="00000000">
      <w:pPr>
        <w:spacing w:after="160" w:line="276" w:lineRule="auto"/>
        <w:jc w:val="both"/>
      </w:pPr>
      <w:r>
        <w:t>Figura 1. Framework de desarrollo: la cola de construcción (madrono-agent) y la cola de QA, independiente, cerrando el ciclo sobre la misma disciplina de especificación por tarea.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La Figura 2 resume la arquitectura extremo a extremo, desde las fuentes hasta la capa de explotación donde reside el asistente.</w:t>
      </w:r>
      <w:proofErr w:type="gramStart"/>
      <w:proofErr w:type="gramEnd"/>
    </w:p>
    <w:p w14:paraId="3A9CA179" w14:textId="77777777" w:rsidR="007C0893" w:rsidRDefault="00000000">
      <w:pPr>
        <w:spacing w:before="120" w:after="40"/>
        <w:jc w:val="center"/>
      </w:pPr>
      <w:r>
        <w:drawing>
          <wp:inline xmlns:a="http://schemas.openxmlformats.org/drawingml/2006/main" xmlns:pic="http://schemas.openxmlformats.org/drawingml/2006/picture">
            <wp:extent cx="5760720" cy="877672"/>
            <wp:docPr id="1217661469" name="Picture 1217661469"/>
            <wp:cNvGraphicFramePr>
              <a:graphicFrameLocks noChangeAspect="1"/>
            </wp:cNvGraphicFramePr>
            <a:graphic>
              <a:graphicData uri="http://schemas.openxmlformats.org/drawingml/2006/picture">
                <pic:pic>
                  <pic:nvPicPr>
                    <pic:cNvPr id="0" name="01_arquitectura.png"/>
                    <pic:cNvPicPr/>
                  </pic:nvPicPr>
                  <pic:blipFill>
                    <a:blip r:embed="rId15"/>
                    <a:stretch>
                      <a:fillRect/>
                    </a:stretch>
                  </pic:blipFill>
                  <pic:spPr>
                    <a:xfrm>
                      <a:off x="0" y="0"/>
                      <a:ext cx="5760720" cy="877672"/>
                    </a:xfrm>
                    <a:prstGeom prst="rect"/>
                  </pic:spPr>
                </pic:pic>
              </a:graphicData>
            </a:graphic>
          </wp:inline>
        </w:drawing>
      </w:r>
    </w:p>
    <w:p w14:paraId="25EB7BF2" w14:textId="77777777" w:rsidR="007C0893" w:rsidRDefault="00000000">
      <w:pPr>
        <w:spacing w:before="80" w:after="200"/>
        <w:jc w:val="center"/>
      </w:pPr>
      <w:r>
        <w:rPr>
          <w:i/>
          <w:iCs/>
          <w:color w:val="595959"/>
          <w:sz w:val="18"/>
          <w:szCs w:val="18"/>
        </w:rPr>
        <w:t>Figura 2.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veintitrés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se articula alrededor de un único backend conversacional —un servicio FastAPI que incorpora un agente MCP con diecinueve herramientas y un chat en lenguaje natural apoyado en un modelo de lenguaje servido vía Groq (nivel gratuito)—, accesible desde tres superficies públicas que comparten ese mismo backend: una aplicación de demostración (Amazon S3 + CloudFront, autenticación básica) y, sobre todo, el mapa animado y el explorador del grafo en vivo, publicados ambos en GitHub Pages con el chat incrustado directamente en la página (véase 6.7);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está diseñado para programarse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ha verificado manualmente y se ejecuta por separado del resto del pipeline, mediante una tarea `cron` en la propia instancia —sin crear infraestructura nueva—, que reconstruye el panel de datos, reentrena, evalúa contra el modelo vigente y solo promueve la nueva versión si no empeora; está instalado y verificado en producción con una ejecución real forzada (seis modelos reentrenados y registrados, guardrail de promoción probado), aunque con la ingesta congelada (véase 7.4) su efecto hasta la entrega es mantener el modelo vigente, no incorporar historia nueva.</w:t>
      </w:r>
    </w:p>
    <w:p>
      <w:pPr/>
      <w:r>
        <w:t>La gestión de credenciales en producción pasó de llevar el secreto en claro en la variable de entorno de la función Lambda a leerlo de AWS SSM Parameter Store como `SecureString` en tiempo de ejecución: los cuatro productores con credencial externa (AEMET, Bluesky, CAMS y transporte público EMT) solo llevan ya la ruta al parámetro, con una política IAM de `ssm:GetParameter` acotada a los seis ARN concretos que necesitan, sin comodines. Verificado con una invocación real de `cams_calidad_aire` en producción que confirma que la variable de entorno ya no contiene el secreto.</w:t>
      </w:r>
    </w:p>
    <w:p>
      <w:pPr/>
      <w:r>
        <w:t>La salud del pipeline se vigila con una regla de Amazon EventBridge que detecta en tiempo real cualquier job de AWS Glue en estado `FAILED`, `TIMEOUT` o `ERROR`, activa en producción. El canal de notificación —un topic de Amazon SNS— queda sin desplegar por una limitación de permisos IAM ajena al diseño (el único servicio sin política `*FullAccess` en el usuario de despliegue) y por decisión explícita del equipo de que el diseño y la regla activa bastan para el alcance de este trabajo; el canal de aviso queda como último paso de despliegue (véase 7.4).</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dieciséis de ellas están en producción continua, con captura programada y flujo Bronze→Silver→Gold activo (dos de las dieciséis, incidencias de EMT y aparcamiento regulado en calle, tienen por ahora solo la ingesta a Bronze; Silver/Gold queda como trabajo pendiente, véase 7.5).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5FA2FBD5" w14:textId="77777777" w:rsidR="007C0893" w:rsidRDefault="00000000">
      <w:pPr>
        <w:spacing w:after="160" w:line="276" w:lineRule="auto"/>
        <w:jc w:val="both"/>
      </w:pPr>
      <w:proofErr w:type="spellStart"/>
      <w:proofErr w:type="spellEnd"/>
      <w:proofErr w:type="spellStart"/>
      <w:proofErr w:type="spellEnd"/>
      <w:r>
        <w:drawing>
          <wp:inline xmlns:a="http://schemas.openxmlformats.org/drawingml/2006/main" xmlns:pic="http://schemas.openxmlformats.org/drawingml/2006/picture">
            <wp:extent cx="5760720" cy="1291345"/>
            <wp:docPr id="1217661470" name="Picture 1217661470"/>
            <wp:cNvGraphicFramePr>
              <a:graphicFrameLocks noChangeAspect="1"/>
            </wp:cNvGraphicFramePr>
            <a:graphic>
              <a:graphicData uri="http://schemas.openxmlformats.org/drawingml/2006/picture">
                <pic:pic>
                  <pic:nvPicPr>
                    <pic:cNvPr id="0" name="02_pipeline_datos.png"/>
                    <pic:cNvPicPr/>
                  </pic:nvPicPr>
                  <pic:blipFill>
                    <a:blip r:embed="rId16"/>
                    <a:stretch>
                      <a:fillRect/>
                    </a:stretch>
                  </pic:blipFill>
                  <pic:spPr>
                    <a:xfrm>
                      <a:off x="0" y="0"/>
                      <a:ext cx="5760720" cy="1291345"/>
                    </a:xfrm>
                    <a:prstGeom prst="rect"/>
                  </pic:spPr>
                </pic:pic>
              </a:graphicData>
            </a:graphic>
          </wp:inline>
        </w:drawing>
      </w:r>
    </w:p>
    <w:p w14:paraId="5FA2FBD5" w14:textId="77777777" w:rsidR="007C0893" w:rsidRDefault="00000000">
      <w:pPr>
        <w:spacing w:after="160" w:line="276" w:lineRule="auto"/>
        <w:jc w:val="both"/>
      </w:pPr>
      <w:proofErr w:type="spellStart"/>
      <w:proofErr w:type="spellEnd"/>
      <w:proofErr w:type="spellStart"/>
      <w:proofErr w:type="spellEnd"/>
      <w:r>
        <w:t>Figura 3. Flujo de datos Bronze→Silver→Gold de cada fuente, con la puerta de calidad Great Expectations.</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508FC3DB" w14:textId="77777777" w:rsidR="007C0893" w:rsidRDefault="00000000">
      <w:pPr>
        <w:spacing w:after="160" w:line="276" w:lineRule="auto"/>
        <w:jc w:val="both"/>
      </w:pPr>
      <w:r>
        <w:t>El grafo urbano se ha densificado en varias iteraciones sin romper compatibilidad: parte de un índice espacial mínimo (lugares, estaciones de medida, paradas de transporte, barrios y distritos) y ha ido incorporando nodos de nuevos tipos (estaciones meteorológicas, recintos de eventos) y atributos por entidad leídos de la capa Gold sin reingesta (qué contaminantes mide cada estación de aire, capacidades de aparcamiento y de anclaje BiciMAD, subárea de tráfico, nombre). El patrón es siempre el mismo: las entidades geolocalizadas y estables se modelan como nodos del grafo —«dónde y qué hay cerca»—, mientras que sus series de medidas en el tiempo quedan en las tablas Gold —«qué valor, en el tiempo»—, y los modelos de `modelado/` predicen sobre esas series —«qué valor tendrá»—. Fuentes sin una entidad geolocalizada y estable que modelar —`agenda_eventos` (eventos puntuales, no lugares fijos), `aforos_peatones_bicicletas` (fuente municipal descontinuada, solo histórico) y `transporte_publico_emt` (una única parada capturada, véase 7.4)— no aportan nodos propios al grafo por esa misma razón, no por una omisión.</w:t>
      </w:r>
    </w:p>
    <w:p w14:paraId="508FC3DB" w14:textId="77777777" w:rsidR="007C0893" w:rsidRDefault="00000000">
      <w:pPr>
        <w:spacing w:after="160" w:line="276" w:lineRule="auto"/>
        <w:jc w:val="both"/>
      </w:pPr>
      <w:r>
        <w:t>A fecha de esta memoria, la instancia real contiene 9812 nodos —4867 `EstacionMedida` (tráfico, calidad del aire, ruido, meteorología, aforos), 4056 `ParadaTransporte`, 737 `Lugar` (puntos de interés, parques, recintos, aparcamientos, cines), 131 `Barrio` y 21 `Distrito`— y 76156 relaciones de cuatro tipos (`PROXIMO_A`, `CONECTADO_CON`, `UBICADO_EN`, `PERTENECE_A`), verificadas con consultas de solo lectura contra la instancia AuraDB real.</w:t>
      </w:r>
    </w:p>
    <w:p w14:paraId="508FC3DB" w14:textId="77777777" w:rsidR="007C0893" w:rsidRDefault="00000000">
      <w:pPr>
        <w:spacing w:after="160" w:line="276" w:lineRule="auto"/>
        <w:jc w:val="both"/>
      </w:pPr>
      <w:r>
        <w:drawing>
          <wp:inline xmlns:a="http://schemas.openxmlformats.org/drawingml/2006/main" xmlns:pic="http://schemas.openxmlformats.org/drawingml/2006/picture">
            <wp:extent cx="5760720" cy="1214794"/>
            <wp:docPr id="1217661473" name="Picture 1217661473"/>
            <wp:cNvGraphicFramePr>
              <a:graphicFrameLocks noChangeAspect="1"/>
            </wp:cNvGraphicFramePr>
            <a:graphic>
              <a:graphicData uri="http://schemas.openxmlformats.org/drawingml/2006/picture">
                <pic:pic>
                  <pic:nvPicPr>
                    <pic:cNvPr id="0" name="05_modelo_grafo.png"/>
                    <pic:cNvPicPr/>
                  </pic:nvPicPr>
                  <pic:blipFill>
                    <a:blip r:embed="rId19"/>
                    <a:stretch>
                      <a:fillRect/>
                    </a:stretch>
                  </pic:blipFill>
                  <pic:spPr>
                    <a:xfrm>
                      <a:off x="0" y="0"/>
                      <a:ext cx="5760720" cy="1214794"/>
                    </a:xfrm>
                    <a:prstGeom prst="rect"/>
                  </pic:spPr>
                </pic:pic>
              </a:graphicData>
            </a:graphic>
          </wp:inline>
        </w:drawing>
      </w:r>
    </w:p>
    <w:p w14:paraId="508FC3DB" w14:textId="77777777" w:rsidR="007C0893" w:rsidRDefault="00000000">
      <w:pPr>
        <w:spacing w:after="160" w:line="276" w:lineRule="auto"/>
        <w:jc w:val="both"/>
      </w:pPr>
      <w:r>
        <w:t>Figura 4. Modelo del grafo urbano: labels de nodo y tipos de relación, con el recuento real de cada uno.</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diecinueve herramientas reales, ninguna con lógica pendiente, agrupadas en tres familias: estado actual sobre la última fila disponible de Gold o del grafo (`calidad_aire`, `trafico_cercano`, `afluencia_estimada`, `disponibilidad_aparcamiento`, `eventos_cercanos`, `opciones_movilidad`, `meteo_cercana`, `avisos_meteo`); previsión y contraste, anclados a la última lectura real (`calidad_aire_prevista` y `trafico_prevista`, LightGBM exportado a ONNX; `calidad_aire_prevista_grafo` y `trafico_prevista_grafo`, el modelo de grafo STGNN servido desde su registro nativo al no exportar a ONNX —véase 5.3—, con la importancia de arista como explicación; `calidad_aire_episodio`, probabilidad de superar un umbral OMS/UE por contaminante y horizonte; `calidad_aire_cams`, contraste frente a la previsión europea de Copernicus; `afluencia_prevista`, señal derivada por persistencia y por la previsión de tráfico); y consulta relacional sobre el grafo urbano (`ruta_saludable`, ruta saludable frente a ruta rápida con reducción de exposición y mejor hora; `contexto_urbano`, barrio/distrito y entorno a uno y dos saltos; `consulta_grafo`, ocho plantillas Cypher de solo lectura parametrizadas, sin Cypher libre; `mejor_hora_zona`, la capa social y de accesibilidad del proyecto, con nueve perfiles de sensibilidad —general, ciclista, sensible al aire o al ruido, asma/EPOC, mayor, infancia, movilidad reducida y trabajo exterior— sobre bandas de referencia OMS/UE). Todas están verificadas de extremo a extremo contra los sistemas reales del proyecto (Athena, Neo4j y, para la previsión, los modelos servidos),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7E65F268" w14:textId="77777777" w:rsidR="007C0893" w:rsidRDefault="00000000">
      <w:pPr>
        <w:spacing w:after="160" w:line="276" w:lineRule="auto"/>
        <w:jc w:val="both"/>
      </w:pPr>
      <w:r>
        <w:t>El diseño de esos nueve perfiles no es personalización genérica: cada peso refleja una vulnerabilidad diferencial reconocida por la evidencia de salud pública, no un ajuste arbitrario. `asma_epoc` y `sensible_aire` ponderan NO₂/O₃ muy por encima del resto (hasta 1,0 y 0,90 sobre 1) porque las guías OMS/UE ya señalan a las personas con enfermedad respiratoria crónica como el grupo de mayor riesgo ante picos de estos contaminantes; `infancia` sube el peso del tráfico —seguridad vial— y del NO₂ —pulmones en desarrollo—; `mayor` sube el ozono, más dañino combinado con el calor en personas mayores; `movilidad_reducida` es el único perfil que pondera la distancia por encima de la exposición (1,3 sobre 1) porque, para quien depende de una silla de ruedas o tiene autonomía de marcha limitada, un desvío para respirar aire algo más limpio no compensa recorrer más metros; y `trabajo_exterior` acepta rutas más largas porque su exposición ya es prolongada durante toda la jornada, no solo durante el trayecto. Son pesos de criterio experto, no una guía clínica individual (véase 7.4), pero convierten `ruta_saludable` y `mejor_hora_zona` en la única capacidad del proyecto pensada explícitamente para reducir una desigualdad real de exposición ambiental —quien más sufre la contaminación es, típicamente, quien menos puede elegir cuándo y por dónde moverse—, no solo para optimizar un trayecto.</w:t>
      </w:r>
    </w:p>
    <w:p w14:paraId="7E65F268" w14:textId="77777777" w:rsidR="007C0893" w:rsidRDefault="00000000">
      <w:pPr>
        <w:spacing w:after="160" w:line="276" w:lineRule="auto"/>
        <w:jc w:val="both"/>
      </w:pPr>
      <w:r>
        <w:drawing>
          <wp:inline xmlns:a="http://schemas.openxmlformats.org/drawingml/2006/main" xmlns:pic="http://schemas.openxmlformats.org/drawingml/2006/picture">
            <wp:extent cx="5760720" cy="2030559"/>
            <wp:docPr id="1217661471" name="Picture 1217661471"/>
            <wp:cNvGraphicFramePr>
              <a:graphicFrameLocks noChangeAspect="1"/>
            </wp:cNvGraphicFramePr>
            <a:graphic>
              <a:graphicData uri="http://schemas.openxmlformats.org/drawingml/2006/picture">
                <pic:pic>
                  <pic:nvPicPr>
                    <pic:cNvPr id="0" name="04_secuencia_consulta.png"/>
                    <pic:cNvPicPr/>
                  </pic:nvPicPr>
                  <pic:blipFill>
                    <a:blip r:embed="rId17"/>
                    <a:stretch>
                      <a:fillRect/>
                    </a:stretch>
                  </pic:blipFill>
                  <pic:spPr>
                    <a:xfrm>
                      <a:off x="0" y="0"/>
                      <a:ext cx="5760720" cy="2030559"/>
                    </a:xfrm>
                    <a:prstGeom prst="rect"/>
                  </pic:spPr>
                </pic:pic>
              </a:graphicData>
            </a:graphic>
          </wp:inline>
        </w:drawing>
      </w:r>
    </w:p>
    <w:p w14:paraId="7E65F268" w14:textId="77777777" w:rsidR="007C0893" w:rsidRDefault="00000000">
      <w:pPr>
        <w:spacing w:after="160" w:line="276" w:lineRule="auto"/>
        <w:jc w:val="both"/>
      </w:pPr>
      <w:r>
        <w:t>Figura 5. Secuencia de una consulta al asistente conversacional, de principio a fin.</w:t>
      </w:r>
    </w:p>
    <w:p w14:paraId="7E65F268" w14:textId="77777777" w:rsidR="007C0893" w:rsidRDefault="00000000">
      <w:pPr>
        <w:spacing w:after="160" w:line="276" w:lineRule="auto"/>
        <w:jc w:val="both"/>
      </w:pPr>
      <w:r>
        <w:t>Ese backend conversacional tiene además una cara de usuario de demostración independiente de cualquier cliente MCP externo: una aplicación web con landing de presentación, autenticación básica y el mismo chat, con el backend en la misma instancia EC2 del proyecto y el frontend estático servido desde Amazon S3 y CloudFront. La autenticación es deliberadamente básica y no sustituye a un sistema de usuarios real (véase 7.4).</w:t>
      </w:r>
    </w:p>
    <w:p w14:paraId="7E65F268" w14:textId="77777777" w:rsidR="007C0893" w:rsidRDefault="00000000">
      <w:pPr>
        <w:spacing w:after="160" w:line="276" w:lineRule="auto"/>
        <w:jc w:val="both"/>
      </w:pPr>
      <w:r>
        <w:t>Las dos superficies públicas de referencia, sin embargo, viven en GitHub Pages —gratuitas, sin autenticación y sin necesidad de una instancia dedicada al frontend— y ambas incorporan ya el mismo chat incrustado directamente en la página, no solo un enlace a la aplicación de demostración: el mapa animado, que recorre hora a hora los 1798 nodos de tráfico del grafo con la previsión de los modelos (tráfico y calidad del aire), resaltando las aristas más influyentes y un índice de salud por nodo, con una capa social y de accesibilidad de nueve perfiles de sensibilidad y bandas de referencia OMS/UE, generado íntegramente sin conexión a los sistemas en vivo; y el explorador del grafo urbano en vivo, que sí consulta Neo4j directamente y en solo lectura para mostrar nodos, aristas de transporte y vecindarios de proximidad reales en cada momento. En ambas superficies, el chat ya no es una caja negra: cada respuesta muestra una traza de qué herramientas del agente MCP se invocaron para construirla, y un catálogo de preguntas sugeridas ayuda a quien no conoce el sistema a empezar (Figura 5).</w:t>
      </w:r>
    </w:p>
    <w:p w14:paraId="7E65F268" w14:textId="77777777" w:rsidR="007C0893" w:rsidRDefault="00000000">
      <w:pPr>
        <w:spacing w:after="160" w:line="276" w:lineRule="auto"/>
        <w:jc w:val="both"/>
      </w:pPr>
      <w:r>
        <w:t>La Figura 6 resume el catálogo completo: qué familia de tools resuelve cada tipo de pregunta y contra qué sistema real consulta cada una.</w:t>
      </w:r>
    </w:p>
    <w:p w14:paraId="7E65F268" w14:textId="77777777" w:rsidR="007C0893" w:rsidRDefault="00000000">
      <w:pPr>
        <w:spacing w:after="160" w:line="276" w:lineRule="auto"/>
        <w:jc w:val="both"/>
      </w:pPr>
      <w:r>
        <w:drawing>
          <wp:inline xmlns:a="http://schemas.openxmlformats.org/drawingml/2006/main" xmlns:pic="http://schemas.openxmlformats.org/drawingml/2006/picture">
            <wp:extent cx="5760720" cy="2699102"/>
            <wp:docPr id="1217661474" name="Picture 1217661474"/>
            <wp:cNvGraphicFramePr>
              <a:graphicFrameLocks noChangeAspect="1"/>
            </wp:cNvGraphicFramePr>
            <a:graphic>
              <a:graphicData uri="http://schemas.openxmlformats.org/drawingml/2006/picture">
                <pic:pic>
                  <pic:nvPicPr>
                    <pic:cNvPr id="0" name="07_mcp_chat.png"/>
                    <pic:cNvPicPr/>
                  </pic:nvPicPr>
                  <pic:blipFill>
                    <a:blip r:embed="rId20"/>
                    <a:stretch>
                      <a:fillRect/>
                    </a:stretch>
                  </pic:blipFill>
                  <pic:spPr>
                    <a:xfrm>
                      <a:off x="0" y="0"/>
                      <a:ext cx="5760720" cy="2699102"/>
                    </a:xfrm>
                    <a:prstGeom prst="rect"/>
                  </pic:spPr>
                </pic:pic>
              </a:graphicData>
            </a:graphic>
          </wp:inline>
        </w:drawing>
      </w:r>
    </w:p>
    <w:p w14:paraId="7E65F268" w14:textId="77777777" w:rsidR="007C0893" w:rsidRDefault="00000000">
      <w:pPr>
        <w:spacing w:after="160" w:line="276" w:lineRule="auto"/>
        <w:jc w:val="both"/>
      </w:pPr>
      <w:r>
        <w:t>Figura 6. Catálogo de las 19 tools del agente MCP, agrupadas por familia, y las tres superficies que comparten el mismo chat.</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19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pPr/>
      <w:r>
        <w:t>La disciplina operativa no se limita a ese incidente. En ingesta, una librería compartida de Glue quedó apuntando a una clave de S3 basada en un hash de contenido ya borrado: 37 de los 48 jobs (77 %) fallaron en `LAUNCH ERROR` durante más de 28 horas seguidas, diagnosticado con llamadas reales a la API de AWS (no asumido) y corregido con una clave estable sin hash. Una revisión posterior encontró que la propia verificación de esa corrección había confundido «frescura por fecha» con «completitud por hora»: cinco datasets horarios se quedaron con 17-21 horas perdidas ese día. Se construyó un modo de backfill dedicado (`--backfill_fecha`) que rellenó las horas ausentes sin generar duplicados, verificado hueco a hueco en Athena; un sexto dataset se aceptó explícitamente incompleto —una limitación propia de su captura, no de este incidente— en vez de reportar una recuperación que no era real. Un tercer incidente, de infraestructura, encontró que el estado de Terraform había derivado de `main` en decenas de objetos desplegados por un permiso IAM ausente en el usuario de despliegue; revisado línea a línea antes de aplicar ningún cambio.</w:t>
      </w:r>
    </w:p>
    <w:p>
      <w:pPr/>
      <w:r>
        <w:t>El mismo rigor se exigió al resto de capas. En `modelado/`, el guardrail de promoción de modelos no es solo un diseño sobre el papel: en una ejecución real del reentrenamiento nocturno rechazó de hecho una versión peor (`calidad_aire` a 1 h, skill nuevo −0,003 frente al vigente) y promovió las cinco restantes; y el primer reentreno completo agotó la memoria de la instancia (3,7 GiB) al construir el panel de tráfico, resuelto con swap dedicado, no reduciendo el alcance del panel. En el agente MCP, el propio SDK bloqueaba con `421 Misdirected Request` a cualquier cliente externo por su protección anti-DNS-rebinding, un fallo que habría dejado inservible el servidor público; corregido y verificado con pruebas que fijan el código de estado exacto para cada caso (host no permitido → 421, host público permitido → error de sesión, nunca 421). Y en la capa conversacional, el modelo de lenguaje usado en un primer momento alucinaba nombres de herramienta e intentaba invocarlas de nuevo durante la redacción de la respuesta (`400 tool_use_failed`, respuestas vacías); diagnosticado y resuelto cambiando a un modelo que sigue el bucle de llamada a herramientas de forma estable, con una defensa adicional que filtra bloques de razonamiento (`&lt;think&gt;`) que algunos modelos filtran a la salida por error.</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drawing>
          <wp:inline xmlns:a="http://schemas.openxmlformats.org/drawingml/2006/main" xmlns:pic="http://schemas.openxmlformats.org/drawingml/2006/picture">
            <wp:extent cx="5760720" cy="1550024"/>
            <wp:docPr id="1217661472" name="Picture 1217661472"/>
            <wp:cNvGraphicFramePr>
              <a:graphicFrameLocks noChangeAspect="1"/>
            </wp:cNvGraphicFramePr>
            <a:graphic>
              <a:graphicData uri="http://schemas.openxmlformats.org/drawingml/2006/picture">
                <pic:pic>
                  <pic:nvPicPr>
                    <pic:cNvPr id="0" name="03_pipeline_ml.png"/>
                    <pic:cNvPicPr/>
                  </pic:nvPicPr>
                  <pic:blipFill>
                    <a:blip r:embed="rId18"/>
                    <a:stretch>
                      <a:fillRect/>
                    </a:stretch>
                  </pic:blipFill>
                  <pic:spPr>
                    <a:xfrm>
                      <a:off x="0" y="0"/>
                      <a:ext cx="5760720" cy="1550024"/>
                    </a:xfrm>
                    <a:prstGeom prst="rect"/>
                  </pic:spPr>
                </pic:pic>
              </a:graphicData>
            </a:graphic>
          </wp:inline>
        </w:drawing>
      </w:r>
    </w:p>
    <w:p w14:paraId="1913F1D1" w14:textId="77777777" w:rsidR="007C0893" w:rsidRDefault="00000000">
      <w:pPr>
        <w:spacing w:before="80" w:after="200"/>
        <w:jc w:val="center"/>
      </w:pPr>
      <w:r>
        <w:t>Figura 7. Pipeline de modelado: del feature store al modelo servido por el asistente.</w:t>
      </w:r>
    </w:p>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pPr/>
      <w:r>
        <w:drawing>
          <wp:inline xmlns:a="http://schemas.openxmlformats.org/drawingml/2006/main" xmlns:pic="http://schemas.openxmlformats.org/drawingml/2006/picture">
            <wp:extent cx="5760720" cy="1944243"/>
            <wp:docPr id="1217661475" name="Picture 1217661475"/>
            <wp:cNvGraphicFramePr>
              <a:graphicFrameLocks noChangeAspect="1"/>
            </wp:cNvGraphicFramePr>
            <a:graphic>
              <a:graphicData uri="http://schemas.openxmlformats.org/drawingml/2006/picture">
                <pic:pic>
                  <pic:nvPicPr>
                    <pic:cNvPr id="0" name="06_analitica_grafo.png"/>
                    <pic:cNvPicPr/>
                  </pic:nvPicPr>
                  <pic:blipFill>
                    <a:blip r:embed="rId21"/>
                    <a:stretch>
                      <a:fillRect/>
                    </a:stretch>
                  </pic:blipFill>
                  <pic:spPr>
                    <a:xfrm>
                      <a:off x="0" y="0"/>
                      <a:ext cx="5760720" cy="1944243"/>
                    </a:xfrm>
                    <a:prstGeom prst="rect"/>
                  </pic:spPr>
                </pic:pic>
              </a:graphicData>
            </a:graphic>
          </wp:inline>
        </w:drawing>
      </w:r>
    </w:p>
    <w:p>
      <w:pPr/>
      <w:r>
        <w:t>Figura 8. Pipeline de analítica de grafo: del snapshot offline a los artefactos que consumen el explorador en vivo y esta memoria.</w:t>
      </w:r>
    </w:p>
    <w:p>
      <w:pPr/>
      <w:r>
        <w:t>Sobre el mismo grafo urbano se ha ejecutado una analítica estructural independiente de los modelos predictivos, con `networkx` de forma completamente offline sobre una foto fija del grafo (sin `Graph Data Science`, sin llamadas a Neo4j en caliente). Centralidad de intermediación (*betweenness*) y PageRank, junto con la detección de comunidades de Louvain sobre el subgrafo de proximidad espacial, identifican como puntos de paso obligado nodos con un perfil distinto al de mayor grado —Canillejas, Metro O'Donnell y Aeropuerto T1 por intermediación, frente a Castellana-José Vasconcelos, Santo Domingo y Plaza Castilla por PageRank, coherente con ser paradas EMT de alto grado—; las 54 comunidades detectadas capturan razonablemente la geografía real de los 131 barrios (NMI=0,75) sin ser una partición idéntica (ARI=0,36), como es esperable de un algoritmo que no conoce los límites administrativos.</w:t>
      </w:r>
    </w:p>
    <w:p>
      <w:pPr/>
      <w:r>
        <w:t>Sobre la red de transporte modelada (`CONECTADO_CON`), un análisis de resiliencia estructural cuantifica además su fragilidad: 683 puntos de articulación y un 20 % de los tramos sin ninguna alternativa (puentes), coherente con una red poco mallada (`k_max=2`). Un ataque dirigido a las paradas de mayor intermediación fragmenta la red mucho más deprisa que un fallo aleatorio equivalente: al 5 % de bajas, el fragmento mayor cae a un 39,6 % de la red intacta frente a un 89,1 % bajo fallo aleatorio (Figura 9). Esta cifra usa un recálculo de intermediación por lotes (cada 25 bajas) por coste computacional —una aproximación estándar en el estudio de robustez de redes— que, verificado en un subgrafo de contraste, subestima el daño real; el 39,6 % es por tanto una cota optimista de la fragilidad, no un valor ajustado, aunque el hallazgo cualitativo —la vulnerabilidad estructural real de una red modelada con un único viaje representativo por línea, véase 5.3 y 6.6— se sostiene con independencia de esa aproximación.</w:t>
      </w:r>
    </w:p>
    <w:p>
      <w:pPr/>
      <w:r>
        <w:drawing>
          <wp:inline xmlns:a="http://schemas.openxmlformats.org/drawingml/2006/main" xmlns:pic="http://schemas.openxmlformats.org/drawingml/2006/picture">
            <wp:extent cx="5486400" cy="1536192"/>
            <wp:docPr id="1217661468" name="Picture 1217661468"/>
            <wp:cNvGraphicFramePr>
              <a:graphicFrameLocks noChangeAspect="1"/>
            </wp:cNvGraphicFramePr>
            <a:graphic>
              <a:graphicData uri="http://schemas.openxmlformats.org/drawingml/2006/picture">
                <pic:pic>
                  <pic:nvPicPr>
                    <pic:cNvPr id="0" name="grafo_resiliencia.png"/>
                    <pic:cNvPicPr/>
                  </pic:nvPicPr>
                  <pic:blipFill>
                    <a:blip r:embed="rId14"/>
                    <a:stretch>
                      <a:fillRect/>
                    </a:stretch>
                  </pic:blipFill>
                  <pic:spPr>
                    <a:xfrm>
                      <a:off x="0" y="0"/>
                      <a:ext cx="5486400" cy="1536192"/>
                    </a:xfrm>
                    <a:prstGeom prst="rect"/>
                  </pic:spPr>
                </pic:pic>
              </a:graphicData>
            </a:graphic>
          </wp:inline>
        </w:drawing>
      </w:r>
    </w:p>
    <w:p>
      <w:pPr/>
      <w:r>
        <w:t>Figura 9. Curva de robustez de la red de transporte modelada: fracción del fragmento mayor frente a % de paradas eliminadas, ataque dirigido aproximado (línea sólida, recálculo de intermediación por lotes) vs aleatorio (línea discontinua).</w:t>
      </w:r>
    </w:p>
    <w:p>
      <w:pPr/>
      <w:r>
        <w:t>La conectividad del grafo también ayuda a leer la explicabilidad del modelo de tráfico: la correlación entre la importancia de arista que asigna el STGNN (véase 7.3) y el grado en `PROXIMO_A` de sus sensores extremo pasó de una tendencia débil y no significativa (ρ=0,34, p=0,22) a una correlación moderada y significativa (ρ=0,64, p&lt;0,01) al densificar el grafo con los atributos de `FIL_66` — indicio de que el modelo tiende a apoyarse en sensores mejor conectados con otras señales urbanas, aunque con solo 15 aristas de referencia el resultado es indicativo, no concluyente.</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entre el 14 y el 29 de agosto de 2026 —unas dos semanas—: la ingesta en continuo se congeló deliberadamente el 30 de agosto para contener el coste y fijar el estado del sistema antes de la entrega, con una única ventana de mantenimiento de unos 24 minutos el 1 de septiembre para aplicar y verificar los cambios de seguridad y observabilidad descritos en 5.5. El reentrenamiento nocturno está desplegado y operativo, pero, con la ingesta congelada, reentrena sobre la misma ventana de datos en vez de ampliarla.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 El mecanismo de reentrenamiento nocturno que alimentaría esa curva en producción está construido, verificado y desplegado en producción mediante una tarea `cron` diaria en la instancia del proyecto; con la ingesta congelada (véase el primer punto de esta lista), su efecto práctico hasta la entrega es mantener el modelo vigente frente a la misma ventana de datos, no incorporar historia nueva.</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pPr>
        <w:pStyle w:val="Prrafodelista"/>
        <w:numPr>
          <w:ilvl w:val="0"/>
          <w:numId w:val="2"/>
        </w:numPr>
        <w:spacing w:after="60" w:line="268" w:lineRule="auto"/>
        <w:jc w:val="both"/>
      </w:pPr>
      <w:r>
        <w:t>La observabilidad del pipeline está diseñada y parcialmente desplegada: la regla de EventBridge que detecta fallos de Glue está activa en producción, pero el canal de notificación (un topic SNS) no se ha desplegado por una limitación de permisos IAM del despliegue, no por una carencia de diseño; el equipo decidió que basta con la regla activa para el alcance de esta entrega.</w:t>
      </w:r>
    </w:p>
    <w:p>
      <w:pPr>
        <w:pStyle w:val="Prrafodelista"/>
        <w:numPr>
          <w:ilvl w:val="0"/>
          <w:numId w:val="2"/>
        </w:numPr>
        <w:spacing w:after="60" w:line="268" w:lineRule="auto"/>
        <w:jc w:val="both"/>
      </w:pPr>
      <w:r>
        <w:t>La autenticación de la aplicación web es una autenticación básica de demostración (usuario y contraseña únicos y compartidos), suficiente para verificar el flujo de extremo a extremo pero no un sistema de usuarios apto para un despliegue productivo real.</w:t>
      </w:r>
    </w:p>
    <w:p>
      <w:pPr>
        <w:pStyle w:val="Prrafodelista"/>
        <w:numPr>
          <w:ilvl w:val="0"/>
          <w:numId w:val="2"/>
        </w:numPr>
        <w:spacing w:after="60" w:line="268" w:lineRule="auto"/>
        <w:jc w:val="both"/>
      </w:pPr>
      <w:r>
        <w:t>Los atributos por entidad incorporados al grafo urbano (contaminantes, magnitudes meteorológicas, subárea de tráfico, capacidades) ya no dependen de una ventana reciente sobre el reloj real (`FIL_89`: la versión anterior perdía datos en silencio a partir del 13-14 de septiembre, días antes de la entrega, por acotar el escaneo a los últimos 14 días sobre `current_date`; corregido para escanear el histórico completo, coherente con la ingesta ya congelada). Contaminantes (23/23) y magnitudes meteorológicas (25/25) salen completos; la subárea de tráfico cubre 4439 de 4705 puntos (94 %) tras la corrección —verificado que los 266 restantes nunca han reportado subárea en ninguna de sus ~350 lecturas horarias desde el 15 de agosto, una característica real de esos puntos en la fuente, no un artefacto de ventana—; persisten 4 aparcamientos con capacidad nula ya en la propia capa Gold, tampoco relacionado con ninguna ventana temporal.</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sigue bloqueado por una limitación de `torch.export` con su bucle temporal (variable según el número de nodos); mientras tanto, el modelo ya se sirve en producción desde su registro nativo en las tools `calidad_aire_prevista_grafo` y `trafico_prevista_grafo` (véase 6.7), así que el export a ONNX aportaría portabilidad y un arranque más ligero, no una capacidad nueva.</w:t>
      </w:r>
    </w:p>
    <w:p>
      <w:pPr>
        <w:pStyle w:val="Prrafodelista"/>
        <w:numPr>
          <w:ilvl w:val="0"/>
          <w:numId w:val="2"/>
        </w:numPr>
        <w:spacing w:after="60" w:line="268" w:lineRule="auto"/>
        <w:jc w:val="both"/>
      </w:pPr>
      <w:r>
        <w:t>Ejecutar las dos ablaciones descartadas en 7.3 por tiempo: comparar la fusión multiseñal frente a un modelo de una sola fuente, y evaluar el modelo entrenado con todas las fuentes de Madrid restringiendo la evaluación al sustrato europeo común (CAMS, AEMET, calendario) para estimar la pérdida al portar el enfoque a otra ciudad; los cuadernos que las ejecutarían ya están construidos (`modelado/evaluation/estudios/run_all.py`), solo falta el tiempo de cómputo y de redacción.</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pStyle w:val="Prrafodelista"/>
        <w:numPr>
          <w:ilvl w:val="0"/>
          <w:numId w:val="2"/>
        </w:numPr>
        <w:spacing w:after="60" w:line="268" w:lineRule="auto"/>
        <w:jc w:val="both"/>
      </w:pPr>
      <w:r>
        <w:t>Aplicación web y chat (`FIL_62`/`FIL_63`): frontend en `https://d2obcdu8duk47f.cloudfront.net`, backend en `https://35-42-164-183.nip.io` (autenticación de demostración `demo`/`demo` en ambos).</w:t>
      </w:r>
    </w:p>
    <w:p>
      <w:pPr>
        <w:pStyle w:val="Prrafodelista"/>
        <w:numPr>
          <w:ilvl w:val="0"/>
          <w:numId w:val="2"/>
        </w:numPr>
        <w:spacing w:after="60" w:line="268" w:lineRule="auto"/>
        <w:jc w:val="both"/>
      </w:pPr>
      <w:r>
        <w:t>Visualización animada del grafo (`FIL_36`–`FIL_61`): publicada en `https://madrono-ucm.github.io/madronoTFM/`, regenerable con `python -m viz.build_mapa_animado`.</w:t>
      </w:r>
    </w:p>
    <w:p>
      <w:pPr>
        <w:pStyle w:val="Prrafodelista"/>
        <w:numPr>
          <w:ilvl w:val="0"/>
          <w:numId w:val="2"/>
        </w:numPr>
        <w:spacing w:after="60" w:line="268" w:lineRule="auto"/>
        <w:jc w:val="both"/>
      </w:pPr>
      <w:r>
        <w:t>Analítica de grafo (`FIL_52`/`FIL_64`/`FIL_81`): `python -m modelado.grafo_analitica.analisis` regenera `grafo_centralidad.{json,png}` y `grafo_resiliencia.{json,png}` (Figura 9) desde `grafo/_data/grafo_urbano.json.gz`.</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