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360"/>
      </w:tblGrid>
      <w:tr>
        <w:tc>
          <w:tcPr>
            <w:tcW w:type="dxa" w:w="11909"/>
            <w:shd w:val="clear" w:color="auto" w:fill="005288"/>
            <w:tcBorders>
              <w:top w:val="none"/>
              <w:left w:val="none"/>
              <w:bottom w:val="none"/>
              <w:right w:val="none"/>
              <w:insideH w:val="none"/>
              <w:insideV w:val="none"/>
            </w:tcBorders>
          </w:tcPr>
          <w:p/>
          <w:p>
            <w:pPr>
              <w:spacing w:before="280" w:after="0"/>
              <w:jc w:val="center"/>
            </w:pPr>
            <w:r>
              <w:rPr>
                <w:b/>
                <w:color w:val="FFFFFF"/>
                <w:sz w:val="44"/>
              </w:rPr>
              <w:t>TAMOU ELJERRARI</w:t>
            </w:r>
          </w:p>
          <w:p>
            <w:pPr>
              <w:spacing w:before="0" w:after="120"/>
              <w:jc w:val="center"/>
            </w:pPr>
            <w:r>
              <w:rPr>
                <w:i/>
                <w:color w:val="B4DCFF"/>
                <w:sz w:val="24"/>
              </w:rPr>
              <w:t>Responsable Qualité, Formation &amp; Amélioration Continue</w:t>
            </w:r>
          </w:p>
          <w:p>
            <w:pPr>
              <w:spacing w:before="0" w:after="280"/>
              <w:jc w:val="center"/>
            </w:pPr>
            <w:r>
              <w:rPr>
                <w:color w:val="C8E6FF"/>
                <w:sz w:val="18"/>
              </w:rPr>
              <w:t>📍 Marrakech, Maroc  |  📞 +212 608 946 665  |  ✉ madsenfatou@gmail.com  |  Disponible immédiatement</w:t>
            </w:r>
          </w:p>
        </w:tc>
      </w:tr>
    </w:tbl>
    <w:p/>
    <w:tbl>
      <w:tblPr>
        <w:tblStyle w:val="TableGrid"/>
        <w:tblW w:type="auto" w:w="0"/>
        <w:jc w:val="center"/>
        <w:tblLook w:firstColumn="1" w:firstRow="1" w:lastColumn="0" w:lastRow="0" w:noHBand="0" w:noVBand="1" w:val="04A0"/>
      </w:tblPr>
      <w:tblGrid>
        <w:gridCol w:w="4680"/>
        <w:gridCol w:w="4680"/>
      </w:tblGrid>
      <w:tr>
        <w:tc>
          <w:tcPr>
            <w:tcW w:type="dxa" w:w="3685"/>
            <w:shd w:val="clear" w:color="auto" w:fill="EAF4FB"/>
            <w:tcBorders>
              <w:top w:val="none"/>
              <w:left w:val="none"/>
              <w:bottom w:val="none"/>
              <w:right w:val="none"/>
              <w:insideH w:val="none"/>
              <w:insideV w:val="none"/>
            </w:tcBorders>
          </w:tcPr>
          <w:p>
            <w:pPr>
              <w:spacing w:before="280" w:after="160"/>
              <w:jc w:val="center"/>
            </w:pPr>
            <w:r>
              <w:drawing>
                <wp:inline xmlns:a="http://schemas.openxmlformats.org/drawingml/2006/main" xmlns:pic="http://schemas.openxmlformats.org/drawingml/2006/picture">
                  <wp:extent cx="1368000" cy="1368000"/>
                  <wp:docPr id="2" name="Picture 2"/>
                  <wp:cNvGraphicFramePr>
                    <a:graphicFrameLocks noChangeAspect="1"/>
                  </wp:cNvGraphicFramePr>
                  <a:graphic>
                    <a:graphicData uri="http://schemas.openxmlformats.org/drawingml/2006/picture">
                      <pic:pic>
                        <pic:nvPicPr>
                          <pic:cNvPr id="0" name="photo_tamou_crop.png"/>
                          <pic:cNvPicPr/>
                        </pic:nvPicPr>
                        <pic:blipFill>
                          <a:blip r:embed="rId11"/>
                          <a:stretch>
                            <a:fillRect/>
                          </a:stretch>
                        </pic:blipFill>
                        <pic:spPr>
                          <a:xfrm>
                            <a:off x="0" y="0"/>
                            <a:ext cx="1368000" cy="1368000"/>
                          </a:xfrm>
                          <a:prstGeom prst="rect"/>
                        </pic:spPr>
                      </pic:pic>
                    </a:graphicData>
                  </a:graphic>
                </wp:inline>
              </w:drawing>
            </w:r>
          </w:p>
          <w:p/>
          <w:p>
            <w:pPr>
              <w:spacing w:before="240" w:after="80"/>
              <w:ind w:left="170"/>
            </w:pPr>
            <w:r>
              <w:rPr>
                <w:b/>
                <w:color w:val="005288"/>
                <w:sz w:val="19"/>
              </w:rPr>
              <w:t>COMPÉTENCES CLÉS</w:t>
            </w:r>
          </w:p>
          <w:p>
            <w:pPr>
              <w:spacing w:before="20" w:after="60"/>
              <w:ind w:left="170"/>
            </w:pPr>
            <w:r>
              <w:rPr>
                <w:b w:val="0"/>
                <w:color w:val="1E1E1E"/>
                <w:sz w:val="18"/>
              </w:rPr>
              <w:t>▸  Amélioration continue (ISO 9001, PDCA)</w:t>
            </w:r>
          </w:p>
          <w:p>
            <w:pPr>
              <w:spacing w:before="20" w:after="60"/>
              <w:ind w:left="170"/>
            </w:pPr>
            <w:r>
              <w:rPr>
                <w:b w:val="0"/>
                <w:color w:val="1E1E1E"/>
                <w:sz w:val="18"/>
              </w:rPr>
              <w:t>▸  Analyse Root Cause des écarts</w:t>
            </w:r>
          </w:p>
          <w:p>
            <w:pPr>
              <w:spacing w:before="20" w:after="60"/>
              <w:ind w:left="170"/>
            </w:pPr>
            <w:r>
              <w:rPr>
                <w:b w:val="0"/>
                <w:color w:val="1E1E1E"/>
                <w:sz w:val="18"/>
              </w:rPr>
              <w:t>▸  Pilotage qualité &amp; audit interne</w:t>
            </w:r>
          </w:p>
          <w:p>
            <w:pPr>
              <w:spacing w:before="20" w:after="60"/>
              <w:ind w:left="170"/>
            </w:pPr>
            <w:r>
              <w:rPr>
                <w:b w:val="0"/>
                <w:color w:val="1E1E1E"/>
                <w:sz w:val="18"/>
              </w:rPr>
              <w:t>▸  KPIs : NPS, IS, IR, DMT, Taux de vente</w:t>
            </w:r>
          </w:p>
          <w:p>
            <w:pPr>
              <w:spacing w:before="20" w:after="60"/>
              <w:ind w:left="170"/>
            </w:pPr>
            <w:r>
              <w:rPr>
                <w:b w:val="0"/>
                <w:color w:val="1E1E1E"/>
                <w:sz w:val="18"/>
              </w:rPr>
              <w:t>▸  Tableaux de bord croisés Quali/Quanti</w:t>
            </w:r>
          </w:p>
          <w:p>
            <w:pPr>
              <w:spacing w:before="20" w:after="60"/>
              <w:ind w:left="170"/>
            </w:pPr>
            <w:r>
              <w:rPr>
                <w:b w:val="0"/>
                <w:color w:val="1E1E1E"/>
                <w:sz w:val="18"/>
              </w:rPr>
              <w:t>▸  Ingénierie de formation</w:t>
            </w:r>
          </w:p>
          <w:p>
            <w:pPr>
              <w:spacing w:before="20" w:after="60"/>
              <w:ind w:left="170"/>
            </w:pPr>
            <w:r>
              <w:rPr>
                <w:b w:val="0"/>
                <w:color w:val="1E1E1E"/>
                <w:sz w:val="18"/>
              </w:rPr>
              <w:t>▸  Conception de contenus pédagogiques</w:t>
            </w:r>
          </w:p>
          <w:p>
            <w:pPr>
              <w:spacing w:before="20" w:after="60"/>
              <w:ind w:left="170"/>
            </w:pPr>
            <w:r>
              <w:rPr>
                <w:b w:val="0"/>
                <w:color w:val="1E1E1E"/>
                <w:sz w:val="18"/>
              </w:rPr>
              <w:t>▸  Formation des formateurs &amp; managers</w:t>
            </w:r>
          </w:p>
          <w:p>
            <w:pPr>
              <w:spacing w:before="20" w:after="60"/>
              <w:ind w:left="170"/>
            </w:pPr>
            <w:r>
              <w:rPr>
                <w:b w:val="0"/>
                <w:color w:val="1E1E1E"/>
                <w:sz w:val="18"/>
              </w:rPr>
              <w:t>▸  Habilitation métier client DO</w:t>
            </w:r>
          </w:p>
          <w:p>
            <w:pPr>
              <w:spacing w:before="20" w:after="60"/>
              <w:ind w:left="170"/>
            </w:pPr>
            <w:r>
              <w:rPr>
                <w:b w:val="0"/>
                <w:color w:val="1E1E1E"/>
                <w:sz w:val="18"/>
              </w:rPr>
              <w:t>▸  Recrutement &amp; intégration</w:t>
            </w:r>
          </w:p>
          <w:p>
            <w:pPr>
              <w:spacing w:before="20" w:after="60"/>
              <w:ind w:left="170"/>
            </w:pPr>
            <w:r>
              <w:rPr>
                <w:b w:val="0"/>
                <w:color w:val="1E1E1E"/>
                <w:sz w:val="18"/>
              </w:rPr>
              <w:t>▸  Management &amp; leadership d'équipe</w:t>
            </w:r>
          </w:p>
          <w:p>
            <w:pPr>
              <w:spacing w:before="20" w:after="60"/>
              <w:ind w:left="170"/>
            </w:pPr>
            <w:r>
              <w:rPr>
                <w:b w:val="0"/>
                <w:color w:val="1E1E1E"/>
                <w:sz w:val="18"/>
              </w:rPr>
              <w:t>▸  Animation COPROD / COPIL</w:t>
            </w:r>
          </w:p>
          <w:p>
            <w:pPr>
              <w:spacing w:before="20" w:after="60"/>
              <w:ind w:left="170"/>
            </w:pPr>
            <w:r>
              <w:rPr>
                <w:b w:val="0"/>
                <w:color w:val="1E1E1E"/>
                <w:sz w:val="18"/>
              </w:rPr>
              <w:t>▸  Communication transversale d'impact</w:t>
            </w:r>
          </w:p>
          <w:p>
            <w:pPr>
              <w:spacing w:before="240" w:after="80"/>
              <w:ind w:left="170"/>
            </w:pPr>
            <w:r>
              <w:rPr>
                <w:b/>
                <w:color w:val="005288"/>
                <w:sz w:val="19"/>
              </w:rPr>
              <w:t>RÉALISATIONS</w:t>
            </w:r>
          </w:p>
          <w:p>
            <w:pPr>
              <w:spacing w:before="20" w:after="60"/>
              <w:ind w:left="170"/>
            </w:pPr>
            <w:r>
              <w:rPr>
                <w:b w:val="0"/>
                <w:color w:val="1E1E1E"/>
                <w:sz w:val="18"/>
              </w:rPr>
              <w:t>✔  Certification ISO 9001 V2015</w:t>
              <w:br/>
              <w:t>(AFNOR, 2022)</w:t>
            </w:r>
          </w:p>
          <w:p>
            <w:pPr>
              <w:spacing w:before="20" w:after="60"/>
              <w:ind w:left="170"/>
            </w:pPr>
            <w:r>
              <w:rPr>
                <w:b w:val="0"/>
                <w:color w:val="1E1E1E"/>
                <w:sz w:val="18"/>
              </w:rPr>
              <w:t>✔  Habilitation formation des</w:t>
              <w:br/>
              <w:t>formateurs et managers</w:t>
            </w:r>
          </w:p>
          <w:p>
            <w:pPr>
              <w:spacing w:before="20" w:after="60"/>
              <w:ind w:left="170"/>
            </w:pPr>
            <w:r>
              <w:rPr>
                <w:b w:val="0"/>
                <w:color w:val="1E1E1E"/>
                <w:sz w:val="18"/>
              </w:rPr>
              <w:t>✔  Habilitation métier client DO</w:t>
            </w:r>
          </w:p>
          <w:p>
            <w:pPr>
              <w:spacing w:before="20" w:after="60"/>
              <w:ind w:left="170"/>
            </w:pPr>
            <w:r>
              <w:rPr>
                <w:b w:val="0"/>
                <w:color w:val="1E1E1E"/>
                <w:sz w:val="18"/>
              </w:rPr>
              <w:t>✔  Set-up opérationnel au Sénégal</w:t>
            </w:r>
          </w:p>
          <w:p>
            <w:pPr>
              <w:spacing w:before="20" w:after="60"/>
              <w:ind w:left="170"/>
            </w:pPr>
            <w:r>
              <w:rPr>
                <w:b w:val="0"/>
                <w:color w:val="1E1E1E"/>
                <w:sz w:val="18"/>
              </w:rPr>
              <w:t>✔  Mise en place du processus</w:t>
              <w:br/>
              <w:t>recrutement &amp; formation</w:t>
            </w:r>
          </w:p>
          <w:p>
            <w:pPr>
              <w:spacing w:before="20" w:after="60"/>
              <w:ind w:left="170"/>
            </w:pPr>
            <w:r>
              <w:rPr>
                <w:b w:val="0"/>
                <w:color w:val="1E1E1E"/>
                <w:sz w:val="18"/>
              </w:rPr>
              <w:t>✔  Capitalisation des 2R :</w:t>
              <w:br/>
              <w:t>Résultats &amp; Rétention</w:t>
            </w:r>
          </w:p>
          <w:p>
            <w:pPr>
              <w:spacing w:before="240" w:after="80"/>
              <w:ind w:left="170"/>
            </w:pPr>
            <w:r>
              <w:rPr>
                <w:b/>
                <w:color w:val="005288"/>
                <w:sz w:val="19"/>
              </w:rPr>
              <w:t>FORMATION</w:t>
            </w:r>
          </w:p>
          <w:p>
            <w:pPr>
              <w:spacing w:before="20" w:after="60"/>
              <w:ind w:left="170"/>
            </w:pPr>
            <w:r>
              <w:rPr>
                <w:b/>
                <w:color w:val="1E1E1E"/>
                <w:sz w:val="18"/>
              </w:rPr>
              <w:t>Bac +2 Scientifique</w:t>
            </w:r>
          </w:p>
          <w:p>
            <w:pPr>
              <w:spacing w:before="20" w:after="60"/>
              <w:ind w:left="170"/>
            </w:pPr>
            <w:r>
              <w:rPr>
                <w:b w:val="0"/>
                <w:color w:val="1E1E1E"/>
                <w:sz w:val="18"/>
              </w:rPr>
              <w:t>Ingénierie de formation &amp;</w:t>
              <w:br/>
              <w:t>conception pédagogique</w:t>
            </w:r>
          </w:p>
          <w:p>
            <w:pPr>
              <w:spacing w:before="20" w:after="60"/>
              <w:ind w:left="170"/>
            </w:pPr>
            <w:r>
              <w:rPr>
                <w:b w:val="0"/>
                <w:color w:val="1E1E1E"/>
                <w:sz w:val="18"/>
              </w:rPr>
              <w:t>Soft Skills : gestion du stress,</w:t>
              <w:br/>
              <w:t>intelligence émotionnelle,</w:t>
              <w:br/>
              <w:t>excellence relationnelle,</w:t>
              <w:br/>
              <w:t>gestion des conflits</w:t>
            </w:r>
          </w:p>
          <w:p>
            <w:pPr>
              <w:spacing w:before="240" w:after="80"/>
              <w:ind w:left="170"/>
            </w:pPr>
            <w:r>
              <w:rPr>
                <w:b/>
                <w:color w:val="005288"/>
                <w:sz w:val="19"/>
              </w:rPr>
              <w:t>LANGUES</w:t>
            </w:r>
          </w:p>
          <w:p>
            <w:pPr>
              <w:spacing w:before="20" w:after="60"/>
              <w:ind w:left="170"/>
            </w:pPr>
            <w:r>
              <w:rPr>
                <w:b w:val="0"/>
                <w:color w:val="1E1E1E"/>
                <w:sz w:val="18"/>
              </w:rPr>
              <w:t>Français — Courant</w:t>
            </w:r>
          </w:p>
          <w:p>
            <w:pPr>
              <w:spacing w:before="20" w:after="60"/>
              <w:ind w:left="170"/>
            </w:pPr>
            <w:r>
              <w:rPr>
                <w:b w:val="0"/>
                <w:color w:val="1E1E1E"/>
                <w:sz w:val="18"/>
              </w:rPr>
              <w:t>Arabe — Langue maternelle</w:t>
            </w:r>
          </w:p>
          <w:p>
            <w:pPr>
              <w:spacing w:before="280" w:after="80"/>
              <w:ind w:left="170"/>
            </w:pPr>
            <w:r>
              <w:rPr>
                <w:b/>
                <w:color w:val="005288"/>
                <w:sz w:val="19"/>
              </w:rPr>
              <w:t>VIDÉO DE PRÉSENTATION</w:t>
            </w:r>
          </w:p>
          <w:p>
            <w:pPr>
              <w:spacing w:after="60"/>
              <w:ind w:left="283"/>
              <w:jc w:val="left"/>
            </w:pPr>
            <w:r>
              <w:drawing>
                <wp:inline xmlns:a="http://schemas.openxmlformats.org/drawingml/2006/main" xmlns:pic="http://schemas.openxmlformats.org/drawingml/2006/picture">
                  <wp:extent cx="1368000" cy="1368000"/>
                  <wp:docPr id="1" name="Picture 1"/>
                  <wp:cNvGraphicFramePr>
                    <a:graphicFrameLocks noChangeAspect="1"/>
                  </wp:cNvGraphicFramePr>
                  <a:graphic>
                    <a:graphicData uri="http://schemas.openxmlformats.org/drawingml/2006/picture">
                      <pic:pic>
                        <pic:nvPicPr>
                          <pic:cNvPr id="0" name="qrcode_video.png"/>
                          <pic:cNvPicPr/>
                        </pic:nvPicPr>
                        <pic:blipFill>
                          <a:blip r:embed="rId9"/>
                          <a:stretch>
                            <a:fillRect/>
                          </a:stretch>
                        </pic:blipFill>
                        <pic:spPr>
                          <a:xfrm>
                            <a:off x="0" y="0"/>
                            <a:ext cx="1368000" cy="1368000"/>
                          </a:xfrm>
                          <a:prstGeom prst="rect"/>
                        </pic:spPr>
                      </pic:pic>
                    </a:graphicData>
                  </a:graphic>
                </wp:inline>
              </w:drawing>
            </w:r>
          </w:p>
          <w:p>
            <w:pPr>
              <w:spacing w:after="80"/>
              <w:ind w:left="170"/>
            </w:pPr>
            <w:r>
              <w:rPr>
                <w:sz w:val="17"/>
              </w:rPr>
              <w:t xml:space="preserve">▸  </w:t>
            </w:r>
            <w:hyperlink r:id="rId10">
              <w:r>
                <w:rPr>
                  <w:color w:val="005288"/>
                  <w:u w:val="single"/>
                  <w:sz w:val="20"/>
                </w:rPr>
                <w:t>Voir ma vidéo de présentation</w:t>
              </w:r>
            </w:hyperlink>
          </w:p>
        </w:tc>
        <w:tc>
          <w:tcPr>
            <w:tcW w:type="dxa" w:w="7654"/>
            <w:shd w:val="clear" w:color="auto" w:fill="FFFFFF"/>
            <w:tcBorders>
              <w:top w:val="none"/>
              <w:left w:val="none"/>
              <w:bottom w:val="none"/>
              <w:right w:val="none"/>
              <w:insideH w:val="none"/>
              <w:insideV w:val="none"/>
            </w:tcBorders>
          </w:tcPr>
          <w:p/>
          <w:p>
            <w:pPr>
              <w:spacing w:before="280" w:after="60"/>
              <w:ind w:left="227"/>
              <w:pBdr>
                <w:bottom w:val="single" w:sz="6" w:space="1" w:color="005288"/>
              </w:pBdr>
            </w:pPr>
            <w:r>
              <w:rPr>
                <w:b/>
                <w:color w:val="005288"/>
                <w:sz w:val="21"/>
              </w:rPr>
              <w:t>PROFIL</w:t>
            </w:r>
          </w:p>
          <w:p>
            <w:pPr>
              <w:spacing w:before="80" w:after="80"/>
              <w:ind w:left="227"/>
            </w:pPr>
            <w:r>
              <w:rPr>
                <w:color w:val="5A5A5A"/>
                <w:sz w:val="19"/>
              </w:rPr>
              <w:t>Professionnelle avec plus de 25 ans d'expérience alliant rigueur industrielle et excellence en relation client. Après 16 années dans l'industrie agroalimentaire orientée export Europe (1997–2013), j'ai transposé ma culture qualité ISO et PDCA au secteur des centres de contacts depuis 2014. Certifiée ISO 9001 V2015 (AFNOR), habilitée sur le métier client DO et sur la formation des formateurs, je pilote l'amélioration continue de bout en bout : voix du client, data, terrain et livrables stratégiques.</w:t>
            </w:r>
          </w:p>
          <w:p>
            <w:pPr>
              <w:spacing w:before="280" w:after="60"/>
              <w:ind w:left="227"/>
              <w:pBdr>
                <w:bottom w:val="single" w:sz="6" w:space="1" w:color="005288"/>
              </w:pBdr>
            </w:pPr>
            <w:r>
              <w:rPr>
                <w:b/>
                <w:color w:val="005288"/>
                <w:sz w:val="21"/>
              </w:rPr>
              <w:t>EXPÉRIENCE PROFESSIONNELLE</w:t>
            </w:r>
          </w:p>
          <w:p>
            <w:pPr>
              <w:spacing w:before="160" w:after="20"/>
              <w:ind w:left="227"/>
            </w:pPr>
            <w:r>
              <w:rPr>
                <w:b/>
                <w:color w:val="008CBA"/>
                <w:sz w:val="18"/>
              </w:rPr>
              <w:t>2023 – À ce jour</w:t>
            </w:r>
          </w:p>
          <w:p>
            <w:pPr>
              <w:spacing w:before="0" w:after="40"/>
              <w:ind w:left="227"/>
            </w:pPr>
            <w:r>
              <w:rPr>
                <w:b/>
                <w:sz w:val="20"/>
              </w:rPr>
              <w:t>Responsable Qualité &amp; Formation — Shyperformance</w:t>
            </w:r>
          </w:p>
          <w:p>
            <w:pPr>
              <w:pStyle w:val="ListBullet"/>
              <w:spacing w:before="20" w:after="20"/>
              <w:ind w:left="454"/>
            </w:pPr>
            <w:r>
              <w:rPr>
                <w:color w:val="5A5A5A"/>
                <w:sz w:val="18"/>
              </w:rPr>
              <w:t>Pilotage et obtention de la certification ISO 9001 V2015 (AFNOR)</w:t>
            </w:r>
          </w:p>
          <w:p>
            <w:pPr>
              <w:pStyle w:val="ListBullet"/>
              <w:spacing w:before="20" w:after="20"/>
              <w:ind w:left="454"/>
            </w:pPr>
            <w:r>
              <w:rPr>
                <w:color w:val="5A5A5A"/>
                <w:sz w:val="18"/>
              </w:rPr>
              <w:t>Ingénierie de formation et conception de contenus pédagogiques (initiale &amp; continue)</w:t>
            </w:r>
          </w:p>
          <w:p>
            <w:pPr>
              <w:pStyle w:val="ListBullet"/>
              <w:spacing w:before="20" w:after="20"/>
              <w:ind w:left="454"/>
            </w:pPr>
            <w:r>
              <w:rPr>
                <w:color w:val="5A5A5A"/>
                <w:sz w:val="18"/>
              </w:rPr>
              <w:t>Formation et habilitation des formateurs et managers (cursus compétence métier)</w:t>
            </w:r>
          </w:p>
          <w:p>
            <w:pPr>
              <w:pStyle w:val="ListBullet"/>
              <w:spacing w:before="20" w:after="20"/>
              <w:ind w:left="454"/>
            </w:pPr>
            <w:r>
              <w:rPr>
                <w:color w:val="5A5A5A"/>
                <w:sz w:val="18"/>
              </w:rPr>
              <w:t>Habilitation sur le métier client DO</w:t>
            </w:r>
          </w:p>
          <w:p>
            <w:pPr>
              <w:pStyle w:val="ListBullet"/>
              <w:spacing w:before="20" w:after="20"/>
              <w:ind w:left="454"/>
            </w:pPr>
            <w:r>
              <w:rPr>
                <w:color w:val="5A5A5A"/>
                <w:sz w:val="18"/>
              </w:rPr>
              <w:t>Structuration du processus de recrutement et de formation</w:t>
            </w:r>
          </w:p>
          <w:p>
            <w:pPr>
              <w:pStyle w:val="ListBullet"/>
              <w:spacing w:before="20" w:after="20"/>
              <w:ind w:left="454"/>
            </w:pPr>
            <w:r>
              <w:rPr>
                <w:color w:val="5A5A5A"/>
                <w:sz w:val="18"/>
              </w:rPr>
              <w:t>Relais transversal entre le client DO, la direction et l'opérationnel</w:t>
            </w:r>
          </w:p>
          <w:p>
            <w:pPr>
              <w:pStyle w:val="ListBullet"/>
              <w:spacing w:before="20" w:after="20"/>
              <w:ind w:left="454"/>
            </w:pPr>
            <w:r>
              <w:rPr>
                <w:color w:val="5A5A5A"/>
                <w:sz w:val="18"/>
              </w:rPr>
              <w:t>Animation des instances COPROD et COPIL</w:t>
            </w:r>
          </w:p>
          <w:p>
            <w:pPr>
              <w:pStyle w:val="ListBullet"/>
              <w:spacing w:before="20" w:after="20"/>
              <w:ind w:left="454"/>
            </w:pPr>
            <w:r>
              <w:rPr>
                <w:color w:val="5A5A5A"/>
                <w:sz w:val="18"/>
              </w:rPr>
              <w:t>Démarrage opérationnel from scratch au Sénégal</w:t>
            </w:r>
          </w:p>
          <w:p>
            <w:pPr>
              <w:spacing w:before="160" w:after="20"/>
              <w:ind w:left="227"/>
            </w:pPr>
            <w:r>
              <w:rPr>
                <w:b/>
                <w:color w:val="008CBA"/>
                <w:sz w:val="18"/>
              </w:rPr>
              <w:t>2021 – 2022</w:t>
            </w:r>
          </w:p>
          <w:p>
            <w:pPr>
              <w:spacing w:before="0" w:after="40"/>
              <w:ind w:left="227"/>
            </w:pPr>
            <w:r>
              <w:rPr>
                <w:b/>
                <w:sz w:val="20"/>
              </w:rPr>
              <w:t>Formatrice Senior — Shyperformance (Énergie &amp; Téléphonie)</w:t>
            </w:r>
          </w:p>
          <w:p>
            <w:pPr>
              <w:pStyle w:val="ListBullet"/>
              <w:spacing w:before="20" w:after="20"/>
              <w:ind w:left="454"/>
            </w:pPr>
            <w:r>
              <w:rPr>
                <w:color w:val="5A5A5A"/>
                <w:sz w:val="18"/>
              </w:rPr>
              <w:t>Encadrement des recrues et accompagnement des équipes terrain</w:t>
            </w:r>
          </w:p>
          <w:p>
            <w:pPr>
              <w:pStyle w:val="ListBullet"/>
              <w:spacing w:before="20" w:after="20"/>
              <w:ind w:left="454"/>
            </w:pPr>
            <w:r>
              <w:rPr>
                <w:color w:val="5A5A5A"/>
                <w:sz w:val="18"/>
              </w:rPr>
              <w:t>Animation de formations relation client et gestion des compétences</w:t>
            </w:r>
          </w:p>
          <w:p>
            <w:pPr>
              <w:spacing w:before="160" w:after="20"/>
              <w:ind w:left="227"/>
            </w:pPr>
            <w:r>
              <w:rPr>
                <w:b/>
                <w:color w:val="008CBA"/>
                <w:sz w:val="18"/>
              </w:rPr>
              <w:t>2020 – 2021</w:t>
            </w:r>
          </w:p>
          <w:p>
            <w:pPr>
              <w:spacing w:before="0" w:after="40"/>
              <w:ind w:left="227"/>
            </w:pPr>
            <w:r>
              <w:rPr>
                <w:b/>
                <w:sz w:val="20"/>
              </w:rPr>
              <w:t>Formatrice Senior — Webhelp</w:t>
            </w:r>
          </w:p>
          <w:p>
            <w:pPr>
              <w:pStyle w:val="ListBullet"/>
              <w:spacing w:before="20" w:after="20"/>
              <w:ind w:left="454"/>
            </w:pPr>
            <w:r>
              <w:rPr>
                <w:color w:val="5A5A5A"/>
                <w:sz w:val="18"/>
              </w:rPr>
              <w:t>Formation continue des équipes et transfert des bonnes pratiques</w:t>
            </w:r>
          </w:p>
          <w:p>
            <w:pPr>
              <w:spacing w:before="160" w:after="20"/>
              <w:ind w:left="227"/>
            </w:pPr>
            <w:r>
              <w:rPr>
                <w:b/>
                <w:color w:val="008CBA"/>
                <w:sz w:val="18"/>
              </w:rPr>
              <w:t>2018 – 2020</w:t>
            </w:r>
          </w:p>
          <w:p>
            <w:pPr>
              <w:spacing w:before="0" w:after="40"/>
              <w:ind w:left="227"/>
            </w:pPr>
            <w:r>
              <w:rPr>
                <w:b/>
                <w:sz w:val="20"/>
              </w:rPr>
              <w:t>Formatrice SFR Sortant &amp; Entraînement Service Client — Webhelp</w:t>
            </w:r>
          </w:p>
          <w:p>
            <w:pPr>
              <w:pStyle w:val="ListBullet"/>
              <w:spacing w:before="20" w:after="20"/>
              <w:ind w:left="454"/>
            </w:pPr>
            <w:r>
              <w:rPr>
                <w:color w:val="5A5A5A"/>
                <w:sz w:val="18"/>
              </w:rPr>
              <w:t>Animation des formations sur les process SFR et la relation client sortante</w:t>
            </w:r>
          </w:p>
          <w:p>
            <w:pPr>
              <w:spacing w:before="160" w:after="20"/>
              <w:ind w:left="227"/>
            </w:pPr>
            <w:r>
              <w:rPr>
                <w:b/>
                <w:color w:val="008CBA"/>
                <w:sz w:val="18"/>
              </w:rPr>
              <w:t>2016 – 2017</w:t>
            </w:r>
          </w:p>
          <w:p>
            <w:pPr>
              <w:spacing w:before="0" w:after="40"/>
              <w:ind w:left="227"/>
            </w:pPr>
            <w:r>
              <w:rPr>
                <w:b/>
                <w:sz w:val="20"/>
              </w:rPr>
              <w:t>Chargée de Recrutement — Webhelp</w:t>
            </w:r>
          </w:p>
          <w:p>
            <w:pPr>
              <w:pStyle w:val="ListBullet"/>
              <w:spacing w:before="20" w:after="20"/>
              <w:ind w:left="454"/>
            </w:pPr>
            <w:r>
              <w:rPr>
                <w:color w:val="5A5A5A"/>
                <w:sz w:val="18"/>
              </w:rPr>
              <w:t>Sélection, intégration et validation des nouveaux collaborateurs</w:t>
            </w:r>
          </w:p>
          <w:p>
            <w:pPr>
              <w:spacing w:before="160" w:after="20"/>
              <w:ind w:left="227"/>
            </w:pPr>
            <w:r>
              <w:rPr>
                <w:b/>
                <w:color w:val="008CBA"/>
                <w:sz w:val="18"/>
              </w:rPr>
              <w:t>2015 – 2016</w:t>
            </w:r>
          </w:p>
          <w:p>
            <w:pPr>
              <w:spacing w:before="0" w:after="40"/>
              <w:ind w:left="227"/>
            </w:pPr>
            <w:r>
              <w:rPr>
                <w:b/>
                <w:sz w:val="20"/>
              </w:rPr>
              <w:t>Contrôleuse Qualité — Webhelp</w:t>
            </w:r>
          </w:p>
          <w:p>
            <w:pPr>
              <w:pStyle w:val="ListBullet"/>
              <w:spacing w:before="20" w:after="20"/>
              <w:ind w:left="454"/>
            </w:pPr>
            <w:r>
              <w:rPr>
                <w:color w:val="5A5A5A"/>
                <w:sz w:val="18"/>
              </w:rPr>
              <w:t>Évaluation des conseillers, analyse des écarts et plans d'actions correctifs (Root Cause / PDCA)</w:t>
            </w:r>
          </w:p>
          <w:p>
            <w:pPr>
              <w:spacing w:before="160" w:after="20"/>
              <w:ind w:left="227"/>
            </w:pPr>
            <w:r>
              <w:rPr>
                <w:b/>
                <w:color w:val="008CBA"/>
                <w:sz w:val="18"/>
              </w:rPr>
              <w:t>2014 – 2015</w:t>
            </w:r>
          </w:p>
          <w:p>
            <w:pPr>
              <w:spacing w:before="0" w:after="40"/>
              <w:ind w:left="227"/>
            </w:pPr>
            <w:r>
              <w:rPr>
                <w:b/>
                <w:sz w:val="20"/>
              </w:rPr>
              <w:t>Conseillère Commerciale TLV SFR — Webhelp</w:t>
            </w:r>
          </w:p>
          <w:p>
            <w:pPr>
              <w:pStyle w:val="ListBullet"/>
              <w:spacing w:before="20" w:after="20"/>
              <w:ind w:left="454"/>
            </w:pPr>
            <w:r>
              <w:rPr>
                <w:color w:val="5A5A5A"/>
                <w:sz w:val="18"/>
              </w:rPr>
              <w:t>Gestion de la relation client et performance commerciale</w:t>
            </w:r>
          </w:p>
          <w:p>
            <w:pPr>
              <w:spacing w:before="160" w:after="20"/>
              <w:ind w:left="227"/>
            </w:pPr>
            <w:r>
              <w:rPr>
                <w:b/>
                <w:color w:val="008CBA"/>
                <w:sz w:val="18"/>
              </w:rPr>
              <w:t>1997 – 2013</w:t>
            </w:r>
          </w:p>
          <w:p>
            <w:pPr>
              <w:spacing w:before="0" w:after="40"/>
              <w:ind w:left="227"/>
            </w:pPr>
            <w:r>
              <w:rPr>
                <w:b/>
                <w:sz w:val="20"/>
              </w:rPr>
              <w:t>Responsable Production &amp; Qualité — Industrie agroalimentaire, Maroc (export Europe)</w:t>
            </w:r>
          </w:p>
          <w:p>
            <w:pPr>
              <w:pStyle w:val="ListBullet"/>
              <w:spacing w:before="20" w:after="20"/>
              <w:ind w:left="454"/>
            </w:pPr>
            <w:r>
              <w:rPr>
                <w:color w:val="5A5A5A"/>
                <w:sz w:val="18"/>
              </w:rPr>
              <w:t>Pilotage qualité et conformité aux standards européens d'exportation</w:t>
            </w:r>
          </w:p>
          <w:p>
            <w:pPr>
              <w:pStyle w:val="ListBullet"/>
              <w:spacing w:before="20" w:after="20"/>
              <w:ind w:left="454"/>
            </w:pPr>
            <w:r>
              <w:rPr>
                <w:color w:val="5A5A5A"/>
                <w:sz w:val="18"/>
              </w:rPr>
              <w:t>Maîtrise des référentiels ISO, traçabilité et audits internes</w:t>
            </w:r>
          </w:p>
          <w:p>
            <w:pPr>
              <w:pStyle w:val="ListBullet"/>
              <w:spacing w:before="20" w:after="20"/>
              <w:ind w:left="454"/>
            </w:pPr>
            <w:r>
              <w:rPr>
                <w:color w:val="5A5A5A"/>
                <w:sz w:val="18"/>
              </w:rPr>
              <w:t>Démarche d'amélioration continue en environnement industriel (PDCA)</w:t>
            </w:r>
          </w:p>
        </w:tc>
      </w:tr>
    </w:tbl>
    <w:sectPr w:rsidR="00FC693F" w:rsidRPr="0006063C" w:rsidSect="00034616">
      <w:pgSz w:w="12240" w:h="15840"/>
      <w:pgMar w:top="0" w:right="0" w:bottom="567"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youtube.com/watch?v=cNZ97tWrsNU" TargetMode="Externa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