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6699"/>
          <w:sz w:val="36"/>
        </w:rPr>
        <w:t>TAMOU ELJERRARI</w:t>
      </w:r>
    </w:p>
    <w:p>
      <w:pPr>
        <w:spacing w:after="80"/>
        <w:jc w:val="center"/>
      </w:pPr>
      <w:r>
        <w:rPr>
          <w:i/>
          <w:sz w:val="22"/>
        </w:rPr>
        <w:t>Responsable Qualité &amp; Formation | Amélioration Continue</w:t>
      </w:r>
    </w:p>
    <w:p>
      <w:pPr>
        <w:spacing w:after="200"/>
        <w:jc w:val="center"/>
      </w:pPr>
      <w:r>
        <w:rPr>
          <w:sz w:val="19"/>
        </w:rPr>
        <w:t>+212 608 946 665 / +212 603 993 201  |  madsenfatou@gmail.com  |  Marrakech, Maroc  |  Disponibilité : Immédiate</w:t>
      </w:r>
    </w:p>
    <w:p>
      <w:pPr>
        <w:spacing w:before="240" w:after="80"/>
        <w:pBdr>
          <w:bottom w:val="single" w:sz="6" w:space="1" w:color="006699"/>
        </w:pBdr>
      </w:pPr>
      <w:r>
        <w:rPr>
          <w:b/>
          <w:color w:val="006699"/>
          <w:sz w:val="24"/>
        </w:rPr>
        <w:t>PROFIL</w:t>
      </w:r>
    </w:p>
    <w:p>
      <w:pPr>
        <w:spacing w:after="120"/>
      </w:pPr>
      <w:r>
        <w:rPr>
          <w:b w:val="0"/>
          <w:sz w:val="21"/>
        </w:rPr>
        <w:t>Professionnelle polyvalente avec plus de 25 ans d'expérience combinant industrie agroalimentaire export (1997-2013) et centres de relation client (2014 à ce jour). Habilitée sur le métier client DO, certifiée ISO 9001 V2015 (AFNOR), ingénieure de formation et coach qualité terrain. Expertise reconnue en amélioration continue, pilotage qualité, management transversal et ingénierie pédagogique.</w:t>
      </w:r>
    </w:p>
    <w:p>
      <w:pPr>
        <w:spacing w:before="240" w:after="80"/>
        <w:pBdr>
          <w:bottom w:val="single" w:sz="6" w:space="1" w:color="006699"/>
        </w:pBdr>
      </w:pPr>
      <w:r>
        <w:rPr>
          <w:b/>
          <w:color w:val="006699"/>
          <w:sz w:val="24"/>
        </w:rPr>
        <w:t>EXPÉRIENCE PROFESSIONNELLE</w:t>
      </w:r>
    </w:p>
    <w:p>
      <w:pPr>
        <w:spacing w:before="160" w:after="20"/>
      </w:pPr>
      <w:r>
        <w:rPr>
          <w:b/>
          <w:color w:val="006699"/>
          <w:sz w:val="21"/>
        </w:rPr>
        <w:t xml:space="preserve">2023 – À ce jour — </w:t>
      </w:r>
      <w:r>
        <w:rPr>
          <w:b/>
          <w:sz w:val="21"/>
        </w:rPr>
        <w:t>Responsable Qualité &amp; Formation — Shyperformance</w:t>
      </w:r>
    </w:p>
    <w:p>
      <w:pPr>
        <w:pStyle w:val="ListBullet"/>
        <w:spacing w:after="40"/>
      </w:pPr>
      <w:r>
        <w:rPr>
          <w:b w:val="0"/>
          <w:sz w:val="20"/>
        </w:rPr>
        <w:t>Mise en place et suivi de la certification ISO 9001 V2015 (délivrée par AFNOR)</w:t>
      </w:r>
    </w:p>
    <w:p>
      <w:pPr>
        <w:pStyle w:val="ListBullet"/>
        <w:spacing w:after="40"/>
      </w:pPr>
      <w:r>
        <w:rPr>
          <w:b w:val="0"/>
          <w:sz w:val="20"/>
        </w:rPr>
        <w:t>Ingénierie de formation et conception de contenus pédagogiques (formation initiale et continue)</w:t>
      </w:r>
    </w:p>
    <w:p>
      <w:pPr>
        <w:pStyle w:val="ListBullet"/>
        <w:spacing w:after="40"/>
      </w:pPr>
      <w:r>
        <w:rPr>
          <w:b w:val="0"/>
          <w:sz w:val="20"/>
        </w:rPr>
        <w:t>Habilitation et formation des formateurs et managers (cursus compétence métier)</w:t>
      </w:r>
    </w:p>
    <w:p>
      <w:pPr>
        <w:pStyle w:val="ListBullet"/>
        <w:spacing w:after="40"/>
      </w:pPr>
      <w:r>
        <w:rPr>
          <w:b w:val="0"/>
          <w:sz w:val="20"/>
        </w:rPr>
        <w:t>Structuration du processus de recrutement et de formation</w:t>
      </w:r>
    </w:p>
    <w:p>
      <w:pPr>
        <w:pStyle w:val="ListBullet"/>
        <w:spacing w:after="40"/>
      </w:pPr>
      <w:r>
        <w:rPr>
          <w:b w:val="0"/>
          <w:sz w:val="20"/>
        </w:rPr>
        <w:t>Relais de communication transversal entre le client DO, la direction et l'opérationnel</w:t>
      </w:r>
    </w:p>
    <w:p>
      <w:pPr>
        <w:pStyle w:val="ListBullet"/>
        <w:spacing w:after="40"/>
      </w:pPr>
      <w:r>
        <w:rPr>
          <w:b w:val="0"/>
          <w:sz w:val="20"/>
        </w:rPr>
        <w:t>Animation des instances de pilotage : COPROD et COPIL</w:t>
      </w:r>
    </w:p>
    <w:p>
      <w:pPr>
        <w:pStyle w:val="ListBullet"/>
        <w:spacing w:after="40"/>
      </w:pPr>
      <w:r>
        <w:rPr>
          <w:b w:val="0"/>
          <w:sz w:val="20"/>
        </w:rPr>
        <w:t>Participation au démarrage opérationnel from scratch au Sénégal</w:t>
      </w:r>
    </w:p>
    <w:p>
      <w:pPr>
        <w:spacing w:before="160" w:after="20"/>
      </w:pPr>
      <w:r>
        <w:rPr>
          <w:b/>
          <w:color w:val="006699"/>
          <w:sz w:val="21"/>
        </w:rPr>
        <w:t xml:space="preserve">2021 – 2022 — </w:t>
      </w:r>
      <w:r>
        <w:rPr>
          <w:b/>
          <w:sz w:val="21"/>
        </w:rPr>
        <w:t>Formatrice Senior — Shyperformance (Énergie &amp; Téléphonie)</w:t>
      </w:r>
    </w:p>
    <w:p>
      <w:pPr>
        <w:pStyle w:val="ListBullet"/>
        <w:spacing w:after="40"/>
      </w:pPr>
      <w:r>
        <w:rPr>
          <w:b w:val="0"/>
          <w:sz w:val="20"/>
        </w:rPr>
        <w:t>Encadrement des nouvelles recrues et accompagnement des équipes</w:t>
      </w:r>
    </w:p>
    <w:p>
      <w:pPr>
        <w:pStyle w:val="ListBullet"/>
        <w:spacing w:after="40"/>
      </w:pPr>
      <w:r>
        <w:rPr>
          <w:b w:val="0"/>
          <w:sz w:val="20"/>
        </w:rPr>
        <w:t>Animation de formations en relation client et gestion des compétences</w:t>
      </w:r>
    </w:p>
    <w:p>
      <w:pPr>
        <w:spacing w:before="160" w:after="20"/>
      </w:pPr>
      <w:r>
        <w:rPr>
          <w:b/>
          <w:color w:val="006699"/>
          <w:sz w:val="21"/>
        </w:rPr>
        <w:t xml:space="preserve">2020 – 2021 — </w:t>
      </w:r>
      <w:r>
        <w:rPr>
          <w:b/>
          <w:sz w:val="21"/>
        </w:rPr>
        <w:t>Formatrice Senior — Webhelp</w:t>
      </w:r>
    </w:p>
    <w:p>
      <w:pPr>
        <w:spacing w:before="160" w:after="20"/>
      </w:pPr>
      <w:r>
        <w:rPr>
          <w:b/>
          <w:color w:val="006699"/>
          <w:sz w:val="21"/>
        </w:rPr>
        <w:t xml:space="preserve">2018 – 2020 — </w:t>
      </w:r>
      <w:r>
        <w:rPr>
          <w:b/>
          <w:sz w:val="21"/>
        </w:rPr>
        <w:t>Formatrice SFR Sortant &amp; Entraînement Service Client — Webhelp</w:t>
      </w:r>
    </w:p>
    <w:p>
      <w:pPr>
        <w:spacing w:before="160" w:after="20"/>
      </w:pPr>
      <w:r>
        <w:rPr>
          <w:b/>
          <w:color w:val="006699"/>
          <w:sz w:val="21"/>
        </w:rPr>
        <w:t xml:space="preserve">2016 – 2017 — </w:t>
      </w:r>
      <w:r>
        <w:rPr>
          <w:b/>
          <w:sz w:val="21"/>
        </w:rPr>
        <w:t>Chargée de Recrutement — Webhelp</w:t>
      </w:r>
    </w:p>
    <w:p>
      <w:pPr>
        <w:pStyle w:val="ListBullet"/>
        <w:spacing w:after="40"/>
      </w:pPr>
      <w:r>
        <w:rPr>
          <w:b w:val="0"/>
          <w:sz w:val="20"/>
        </w:rPr>
        <w:t>Sélection et intégration des nouveaux collaborateurs</w:t>
      </w:r>
    </w:p>
    <w:p>
      <w:pPr>
        <w:pStyle w:val="ListBullet"/>
        <w:spacing w:after="40"/>
      </w:pPr>
      <w:r>
        <w:rPr>
          <w:b w:val="0"/>
          <w:sz w:val="20"/>
        </w:rPr>
        <w:t>Élaboration de tests et d'entretiens de validation</w:t>
      </w:r>
    </w:p>
    <w:p>
      <w:pPr>
        <w:spacing w:before="160" w:after="20"/>
      </w:pPr>
      <w:r>
        <w:rPr>
          <w:b/>
          <w:color w:val="006699"/>
          <w:sz w:val="21"/>
        </w:rPr>
        <w:t xml:space="preserve">2015 – 2016 — </w:t>
      </w:r>
      <w:r>
        <w:rPr>
          <w:b/>
          <w:sz w:val="21"/>
        </w:rPr>
        <w:t>Contrôleuse Qualité — Webhelp</w:t>
      </w:r>
    </w:p>
    <w:p>
      <w:pPr>
        <w:pStyle w:val="ListBullet"/>
        <w:spacing w:after="40"/>
      </w:pPr>
      <w:r>
        <w:rPr>
          <w:b w:val="0"/>
          <w:sz w:val="20"/>
        </w:rPr>
        <w:t>Évaluation des performances des conseillers</w:t>
      </w:r>
    </w:p>
    <w:p>
      <w:pPr>
        <w:pStyle w:val="ListBullet"/>
        <w:spacing w:after="40"/>
      </w:pPr>
      <w:r>
        <w:rPr>
          <w:b w:val="0"/>
          <w:sz w:val="20"/>
        </w:rPr>
        <w:t>Analyse des écarts et proposition d'actions correctives (approche Root Cause / PDCA)</w:t>
      </w:r>
    </w:p>
    <w:p>
      <w:pPr>
        <w:spacing w:before="160" w:after="20"/>
      </w:pPr>
      <w:r>
        <w:rPr>
          <w:b/>
          <w:color w:val="006699"/>
          <w:sz w:val="21"/>
        </w:rPr>
        <w:t xml:space="preserve">2014 – 2015 — </w:t>
      </w:r>
      <w:r>
        <w:rPr>
          <w:b/>
          <w:sz w:val="21"/>
        </w:rPr>
        <w:t>Conseillère Commerciale TLV SFR — Webhelp (9 mois)</w:t>
      </w:r>
    </w:p>
    <w:p>
      <w:pPr>
        <w:spacing w:before="160" w:after="20"/>
      </w:pPr>
      <w:r>
        <w:rPr>
          <w:b/>
          <w:color w:val="006699"/>
          <w:sz w:val="21"/>
        </w:rPr>
        <w:t xml:space="preserve">1997 – 2013 — </w:t>
      </w:r>
      <w:r>
        <w:rPr>
          <w:b/>
          <w:sz w:val="21"/>
        </w:rPr>
        <w:t>Production &amp; Qualité — Industrie agroalimentaire, Maroc (export exclusif Europe)</w:t>
      </w:r>
    </w:p>
    <w:p>
      <w:pPr>
        <w:pStyle w:val="ListBullet"/>
        <w:spacing w:after="40"/>
      </w:pPr>
      <w:r>
        <w:rPr>
          <w:b w:val="0"/>
          <w:sz w:val="20"/>
        </w:rPr>
        <w:t>Pilotage de la qualité et conformité aux normes européennes d'exportation</w:t>
      </w:r>
    </w:p>
    <w:p>
      <w:pPr>
        <w:pStyle w:val="ListBullet"/>
        <w:spacing w:after="40"/>
      </w:pPr>
      <w:r>
        <w:rPr>
          <w:b w:val="0"/>
          <w:sz w:val="20"/>
        </w:rPr>
        <w:t>Maîtrise des référentiels ISO, traçabilité et audits qualité</w:t>
      </w:r>
    </w:p>
    <w:p>
      <w:pPr>
        <w:pStyle w:val="ListBullet"/>
        <w:spacing w:after="40"/>
      </w:pPr>
      <w:r>
        <w:rPr>
          <w:b w:val="0"/>
          <w:sz w:val="20"/>
        </w:rPr>
        <w:t>Logique PDCA et amélioration continue en environnement industriel</w:t>
      </w:r>
    </w:p>
    <w:p>
      <w:pPr>
        <w:spacing w:before="240" w:after="80"/>
        <w:pBdr>
          <w:bottom w:val="single" w:sz="6" w:space="1" w:color="006699"/>
        </w:pBdr>
      </w:pPr>
      <w:r>
        <w:rPr>
          <w:b/>
          <w:color w:val="006699"/>
          <w:sz w:val="24"/>
        </w:rPr>
        <w:t>COMPÉTENCES CLÉS</w:t>
      </w:r>
    </w:p>
    <w:p>
      <w:pPr>
        <w:pStyle w:val="ListBullet"/>
        <w:spacing w:after="40"/>
      </w:pPr>
      <w:r>
        <w:rPr>
          <w:b w:val="0"/>
          <w:sz w:val="20"/>
        </w:rPr>
        <w:t>Amélioration continue &amp; pilotage qualité (ISO 9001, PDCA, Root Cause Analysis)</w:t>
      </w:r>
    </w:p>
    <w:p>
      <w:pPr>
        <w:pStyle w:val="ListBullet"/>
        <w:spacing w:after="40"/>
      </w:pPr>
      <w:r>
        <w:rPr>
          <w:b w:val="0"/>
          <w:sz w:val="20"/>
        </w:rPr>
        <w:t>Ingénierie de formation &amp; conception de contenus pédagogiques</w:t>
      </w:r>
    </w:p>
    <w:p>
      <w:pPr>
        <w:pStyle w:val="ListBullet"/>
        <w:spacing w:after="40"/>
      </w:pPr>
      <w:r>
        <w:rPr>
          <w:b w:val="0"/>
          <w:sz w:val="20"/>
        </w:rPr>
        <w:t>Habilitation métier client DO — Formation des formateurs et managers</w:t>
      </w:r>
    </w:p>
    <w:p>
      <w:pPr>
        <w:pStyle w:val="ListBullet"/>
        <w:spacing w:after="40"/>
      </w:pPr>
      <w:r>
        <w:rPr>
          <w:b w:val="0"/>
          <w:sz w:val="20"/>
        </w:rPr>
        <w:t>Indicateurs CRC : NPS, IS, IR, DMT, Taux de vente — tableaux de bord croisés Quali/Quanti</w:t>
      </w:r>
    </w:p>
    <w:p>
      <w:pPr>
        <w:pStyle w:val="ListBullet"/>
        <w:spacing w:after="40"/>
      </w:pPr>
      <w:r>
        <w:rPr>
          <w:b w:val="0"/>
          <w:sz w:val="20"/>
        </w:rPr>
        <w:t>Audit interne &amp; auto-contrôle</w:t>
      </w:r>
    </w:p>
    <w:p>
      <w:pPr>
        <w:pStyle w:val="ListBullet"/>
        <w:spacing w:after="40"/>
      </w:pPr>
      <w:r>
        <w:rPr>
          <w:b w:val="0"/>
          <w:sz w:val="20"/>
        </w:rPr>
        <w:t>Management, leadership et cohésion d'équipe</w:t>
      </w:r>
    </w:p>
    <w:p>
      <w:pPr>
        <w:pStyle w:val="ListBullet"/>
        <w:spacing w:after="40"/>
      </w:pPr>
      <w:r>
        <w:rPr>
          <w:b w:val="0"/>
          <w:sz w:val="20"/>
        </w:rPr>
        <w:t>Relais transversal client DO / Direction / Opérationnel (COPROD, COPIL)</w:t>
      </w:r>
    </w:p>
    <w:p>
      <w:pPr>
        <w:pStyle w:val="ListBullet"/>
        <w:spacing w:after="40"/>
      </w:pPr>
      <w:r>
        <w:rPr>
          <w:b w:val="0"/>
          <w:sz w:val="20"/>
        </w:rPr>
        <w:t>Communication d'impact : animation d'ateliers &amp; restitution direction</w:t>
      </w:r>
    </w:p>
    <w:p>
      <w:pPr>
        <w:pStyle w:val="ListBullet"/>
        <w:spacing w:after="40"/>
      </w:pPr>
      <w:r>
        <w:rPr>
          <w:b w:val="0"/>
          <w:sz w:val="20"/>
        </w:rPr>
        <w:t>Soft Skills : gestion du stress, intelligence émotionnelle, gestion des conflits</w:t>
      </w:r>
    </w:p>
    <w:p>
      <w:pPr>
        <w:spacing w:before="240" w:after="80"/>
        <w:pBdr>
          <w:bottom w:val="single" w:sz="6" w:space="1" w:color="006699"/>
        </w:pBdr>
      </w:pPr>
      <w:r>
        <w:rPr>
          <w:b/>
          <w:color w:val="006699"/>
          <w:sz w:val="24"/>
        </w:rPr>
        <w:t>RÉALISATIONS</w:t>
      </w:r>
    </w:p>
    <w:p>
      <w:pPr>
        <w:pStyle w:val="ListBullet"/>
        <w:spacing w:after="40"/>
      </w:pPr>
      <w:r>
        <w:rPr>
          <w:b w:val="0"/>
          <w:sz w:val="20"/>
        </w:rPr>
        <w:t>Certification ISO 9001 V2015 délivrée par AFNOR (2022) — financée par l'entreprise</w:t>
      </w:r>
    </w:p>
    <w:p>
      <w:pPr>
        <w:pStyle w:val="ListBullet"/>
        <w:spacing w:after="40"/>
      </w:pPr>
      <w:r>
        <w:rPr>
          <w:b w:val="0"/>
          <w:sz w:val="20"/>
        </w:rPr>
        <w:t>Habilitation à former les formateurs et managers (cursus compétence métier)</w:t>
      </w:r>
    </w:p>
    <w:p>
      <w:pPr>
        <w:pStyle w:val="ListBullet"/>
        <w:spacing w:after="40"/>
      </w:pPr>
      <w:r>
        <w:rPr>
          <w:b w:val="0"/>
          <w:sz w:val="20"/>
        </w:rPr>
        <w:t>Habilitation sur le métier client DO</w:t>
      </w:r>
    </w:p>
    <w:p>
      <w:pPr>
        <w:pStyle w:val="ListBullet"/>
        <w:spacing w:after="40"/>
      </w:pPr>
      <w:r>
        <w:rPr>
          <w:b w:val="0"/>
          <w:sz w:val="20"/>
        </w:rPr>
        <w:t>Démarrage opérationnel from scratch au Sénégal</w:t>
      </w:r>
    </w:p>
    <w:p>
      <w:pPr>
        <w:pStyle w:val="ListBullet"/>
        <w:spacing w:after="40"/>
      </w:pPr>
      <w:r>
        <w:rPr>
          <w:b w:val="0"/>
          <w:sz w:val="20"/>
        </w:rPr>
        <w:t>Mise en place du processus complet de recrutement et de formation</w:t>
      </w:r>
    </w:p>
    <w:p>
      <w:pPr>
        <w:pStyle w:val="ListBullet"/>
        <w:spacing w:after="40"/>
      </w:pPr>
      <w:r>
        <w:rPr>
          <w:b w:val="0"/>
          <w:sz w:val="20"/>
        </w:rPr>
        <w:t>Propositions de valeur et capitalisation des 2R : Résultats &amp; Rétention</w:t>
      </w:r>
    </w:p>
    <w:p>
      <w:pPr>
        <w:spacing w:before="240" w:after="80"/>
        <w:pBdr>
          <w:bottom w:val="single" w:sz="6" w:space="1" w:color="006699"/>
        </w:pBdr>
      </w:pPr>
      <w:r>
        <w:rPr>
          <w:b/>
          <w:color w:val="006699"/>
          <w:sz w:val="24"/>
        </w:rPr>
        <w:t>FORMATION</w:t>
      </w:r>
    </w:p>
    <w:p>
      <w:pPr>
        <w:pStyle w:val="ListBullet"/>
        <w:spacing w:after="40"/>
      </w:pPr>
      <w:r>
        <w:rPr>
          <w:b w:val="0"/>
          <w:sz w:val="20"/>
        </w:rPr>
        <w:t>Bac +2 Scientifique</w:t>
      </w:r>
    </w:p>
    <w:p>
      <w:pPr>
        <w:pStyle w:val="ListBullet"/>
        <w:spacing w:after="40"/>
      </w:pPr>
      <w:r>
        <w:rPr>
          <w:b w:val="0"/>
          <w:sz w:val="20"/>
        </w:rPr>
        <w:t>Formation en ingénierie de formation et élaboration de contenus pédagogiques</w:t>
      </w:r>
    </w:p>
    <w:p>
      <w:pPr>
        <w:pStyle w:val="ListBullet"/>
        <w:spacing w:after="40"/>
      </w:pPr>
      <w:r>
        <w:rPr>
          <w:b w:val="0"/>
          <w:sz w:val="20"/>
        </w:rPr>
        <w:t>Expertise en animation Soft Skills : gestion du stress, intelligence émotionnelle, excellence relationnelle, gestion des conflits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