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658"/>
        </w:tabs>
        <w:spacing w:after="60"/>
      </w:pPr>
      <w:r>
        <w:drawing>
          <wp:inline distT="0" distB="0" distL="0" distR="0">
            <wp:extent cx="9525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  <w:r>
        <w:drawing>
          <wp:inline distT="0" distB="0" distL="0" distR="0">
            <wp:extent cx="247650" cy="247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Arial" w:cs="Arial" w:eastAsia="Arial" w:hAnsi="Arial"/>
          <w:b/>
          <w:bCs/>
          <w:color w:val="173F66"/>
          <w:sz w:val="29"/>
          <w:szCs w:val="29"/>
        </w:rPr>
        <w:t xml:space="preserve">Rannsóknarrammi fyrir fjarlækningaþjónustu HSU</w:t>
      </w:r>
    </w:p>
    <w:p>
      <w:pPr>
        <w:spacing w:after="50"/>
      </w:pPr>
      <w:r>
        <w:rPr>
          <w:rFonts w:ascii="Arial" w:cs="Arial" w:eastAsia="Arial" w:hAnsi="Arial"/>
          <w:color w:val="1A2330"/>
          <w:sz w:val="17"/>
          <w:szCs w:val="17"/>
        </w:rPr>
        <w:t xml:space="preserve">Hvað er mælt, hvaðan gögnin koma og hvenær þau liggja fyrir</w:t>
      </w:r>
    </w:p>
    <w:p>
      <w:pPr>
        <w:pBdr>
          <w:bottom w:val="single" w:color="173F66" w:sz="10" w:space="4"/>
        </w:pBdr>
        <w:spacing w:after="60" w:line="250"/>
      </w:pPr>
      <w:r>
        <w:rPr>
          <w:rFonts w:ascii="Arial" w:cs="Arial" w:eastAsia="Arial" w:hAnsi="Arial"/>
          <w:color w:val="2C3644"/>
          <w:sz w:val="14"/>
          <w:szCs w:val="14"/>
        </w:rPr>
        <w:t xml:space="preserve">Yfirlit yfir þá þætti sem við leggjum til að meta í þjónustu Fjarlækninga fyrir HSU, svo að við séum sammála um skilgreiningar, gögn og tímasetningar áður en tölur eru teknar saman. Byggt á rannsóknarsniðinu og fundi Fjarlækninga og HSU 30. september. Þættir sem bættust við á fundinum eru merktir </w:t>
      </w:r>
      <w:r>
        <w:rPr>
          <w:rFonts w:ascii="Arial" w:cs="Arial" w:eastAsia="Arial" w:hAnsi="Arial"/>
          <w:b/>
          <w:bCs/>
          <w:color w:val="B01268"/>
          <w:sz w:val="14"/>
          <w:szCs w:val="14"/>
        </w:rPr>
        <w:t xml:space="preserve">nýtt</w:t>
      </w:r>
      <w:r>
        <w:rPr>
          <w:rFonts w:ascii="Arial" w:cs="Arial" w:eastAsia="Arial" w:hAnsi="Arial"/>
          <w:color w:val="2C3644"/>
          <w:sz w:val="14"/>
          <w:szCs w:val="14"/>
        </w:rPr>
        <w:t xml:space="preserve"> og ósamþykkt hugmynd að úrbót </w:t>
      </w:r>
      <w:r>
        <w:rPr>
          <w:rFonts w:ascii="Arial" w:cs="Arial" w:eastAsia="Arial" w:hAnsi="Arial"/>
          <w:b/>
          <w:bCs/>
          <w:color w:val="B01268"/>
          <w:sz w:val="14"/>
          <w:szCs w:val="14"/>
        </w:rPr>
        <w:t xml:space="preserve">hugmynd</w:t>
      </w:r>
      <w:r>
        <w:rPr>
          <w:rFonts w:ascii="Arial" w:cs="Arial" w:eastAsia="Arial" w:hAnsi="Arial"/>
          <w:color w:val="2C3644"/>
          <w:sz w:val="14"/>
          <w:szCs w:val="14"/>
        </w:rPr>
        <w:t xml:space="preserve">.</w:t>
      </w:r>
    </w:p>
    <w:tbl>
      <w:tblPr>
        <w:tblW w:type="dxa" w:w="106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90"/>
        <w:gridCol w:w="5838"/>
        <w:gridCol w:w="1470"/>
        <w:gridCol w:w="1560"/>
      </w:tblGrid>
      <w:tr>
        <w:trPr>
          <w:tblHeader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1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5A6472"/>
                <w:sz w:val="12"/>
                <w:szCs w:val="12"/>
              </w:rPr>
              <w:t xml:space="preserve">Þáttur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1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5A6472"/>
                <w:sz w:val="12"/>
                <w:szCs w:val="12"/>
              </w:rPr>
              <w:t xml:space="preserve">Hvað er mælt</w:t>
            </w:r>
          </w:p>
        </w:tc>
        <w:tc>
          <w:tcPr>
            <w:tcW w:type="dxa" w:w="1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1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5A6472"/>
                <w:sz w:val="12"/>
                <w:szCs w:val="12"/>
              </w:rPr>
              <w:t xml:space="preserve">Gögn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10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5A6472"/>
                <w:sz w:val="12"/>
                <w:szCs w:val="12"/>
              </w:rPr>
              <w:t xml:space="preserve">Hvenær</w:t>
            </w:r>
          </w:p>
        </w:tc>
      </w:tr>
      <w:tr>
        <w:trPr>
          <w:cantSplit/>
        </w:trPr>
        <w:tc>
          <w:tcPr>
            <w:tcW w:type="dxa" w:w="10658"/>
            <w:gridSpan w:val="4"/>
            <w:tcBorders>
              <w:top w:val="none" w:color="FFFFFF" w:sz="0"/>
              <w:left w:val="none" w:color="FFFFFF" w:sz="0"/>
              <w:bottom w:val="single" w:color="173F66" w:sz="8"/>
              <w:right w:val="none" w:color="FFFFFF" w:sz="0"/>
            </w:tcBorders>
            <w:tcMar>
              <w:top w:type="dxa" w:w="56"/>
              <w:left w:type="dxa" w:w="0"/>
              <w:bottom w:type="dxa" w:w="22"/>
              <w:right w:type="dxa" w:w="0"/>
            </w:tcMar>
          </w:tcPr>
          <w:p>
            <w:pPr>
              <w:keepNext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73F66"/>
                <w:sz w:val="15"/>
                <w:szCs w:val="15"/>
              </w:rPr>
              <w:t xml:space="preserve">1. Virkar þjónustan fyrir sjúklinginn?</w:t>
            </w:r>
          </w:p>
        </w:tc>
      </w:tr>
      <w:tr>
        <w:trPr>
          <w:cantSplit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Ánægja og traust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Hlutfall svarenda sem eru ánægðir með þjónustuna (4–5 af 5) og hlutfall sem myndi nota hana aftur. Einnig er spurt hve einfalt ferlið var og um ánægju með biðtíma.</w:t>
            </w:r>
          </w:p>
        </w:tc>
        <w:tc>
          <w:tcPr>
            <w:tcW w:type="dxa" w:w="1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Könnun, dagur 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Eftir hvert erindi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Var leyst úr vandanum?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Hlutfall sem svarar „Já, að fullu“ viku síðar. Einnig hvort læknirinn útskýrði niðurstöðu og næstu skref á skýran hátt.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Könnun, dagur 7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Viku eftir erindi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Í stað annarrar þjónustu eða ný eftirspurn?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Spurt er hvað fólk hefði annars gert. Þeir sem hefðu leitað til læknis annars staðar fengu þjónustu í stað annarrar, en þeir sem hefðu beðið eru ný eftirspurn.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Könnun, dagur 0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Eftir hvert erindi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Heimapróf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erinda þar sem heimapróf var notað, og hvernig gekk að fá prófið í hendur og að framkvæma það (4–5 af 5).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 og könnun, dagur 0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Eftir hvert erindi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Upplifun þeirra sem er vísað annað</w:t>
            </w:r>
            <w:r>
              <w:rPr>
                <w:rFonts w:ascii="Arial" w:cs="Arial" w:eastAsia="Arial" w:hAnsi="Arial"/>
                <w:b/>
                <w:bCs/>
                <w:color w:val="B01268"/>
                <w:sz w:val="12"/>
                <w:szCs w:val="12"/>
              </w:rPr>
              <w:t xml:space="preserve"> nýtt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Stutt könnun fyrir þá sem fá ekki úrlausn hjá okkur: Var leiðsögnin skýr? Vissi fólk hvert það átti að leita? Fannst því hún rétt og örugg? Spurningarnar á eftir að semja.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Ný könnun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Þegar erindi er vísað annað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Opin svör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Athugasemdir úr öllum könnunum eru lesnar, flokkaðar eftir efni og nýttar til úrbóta.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Allar kannanir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Mánaðarlega</w:t>
            </w:r>
          </w:p>
        </w:tc>
      </w:tr>
      <w:tr>
        <w:trPr>
          <w:cantSplit/>
        </w:trPr>
        <w:tc>
          <w:tcPr>
            <w:tcW w:type="dxa" w:w="10658"/>
            <w:gridSpan w:val="4"/>
            <w:tcBorders>
              <w:top w:val="none" w:color="FFFFFF" w:sz="0"/>
              <w:left w:val="none" w:color="FFFFFF" w:sz="0"/>
              <w:bottom w:val="single" w:color="173F66" w:sz="8"/>
              <w:right w:val="none" w:color="FFFFFF" w:sz="0"/>
            </w:tcBorders>
            <w:tcMar>
              <w:top w:type="dxa" w:w="56"/>
              <w:left w:type="dxa" w:w="0"/>
              <w:bottom w:type="dxa" w:w="22"/>
              <w:right w:type="dxa" w:w="0"/>
            </w:tcMar>
          </w:tcPr>
          <w:p>
            <w:pPr>
              <w:keepNext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73F66"/>
                <w:sz w:val="15"/>
                <w:szCs w:val="15"/>
              </w:rPr>
              <w:t xml:space="preserve">2. Virkar þjónustan fyrir heilbrigðiskerfið?</w:t>
            </w:r>
          </w:p>
        </w:tc>
      </w:tr>
      <w:tr>
        <w:trPr>
          <w:cantSplit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Fjöldi erinda og úrlausn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erinda eftir stöð, mánuði og tegund. Hlutfall erinda sem leyst er úr að fullu í fjarþjónustu, án þess að vísa þurfi annað. Einnig endurtekin erindi vegna sama vanda.</w:t>
            </w:r>
          </w:p>
        </w:tc>
        <w:tc>
          <w:tcPr>
            <w:tcW w:type="dxa" w:w="1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Frá fyrsta degi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Erindi sem er vísað annað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Greint er á milli erinda sem er vísað áfram í viðeigandi þjónustu, til dæmis í skoðun, og erinda sem er vísað frá því að þau eiga ekki heima í fjarþjónustu. Ástæðan er skráð eftir föstum lista.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Frá fyrsta degi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Greiningar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ICD-10 greining er skráð á hvert erindi, líka á þau sem er vísað annað. Borið saman við umsaminn kóðalista og talið hve mörg erindi falla utan hans.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Þegar kóðalistinn liggur fyrir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Komur á heilsugæslu HSU vegna sömu vandamála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skráðra greininga af kóðalistanum eftir stöð og mánuði, hver greining talin einu sinni á sjúkling á dag. Baseline nær 36 mánuði aftur og sama talning heldur áfram, svo að bera megi saman við þróun fyrri ára.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Saga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Baseline strax, svo eftir 6 og 12 mánuði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Biðtími sjúklings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Tími frá því að erindi berst þar til læknir svarar: miðgildi, og innan hve langs tíma 95% fá svar. Viðmiðið er svar innan tveggja klukkustunda.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Frá fyrsta degi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Vinnutími læknis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Miðgildi þess tíma sem læknir ver í hvert erindi. Læknar skrá tímann í tvær vikur, 20 erindi hver.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Skráning lækna okkar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Í upphafi og um 9. mánuð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Starfsfólk HSU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Ánægja með samstarfið, hvort þjónustan hjálpar í starfi og hvort hún eigi að halda áfram, greint eftir starfsstétt. Einnig spurt hvað myndi breytast ef þjónustan legðist af.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Starfsmannakönnun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Í lok tímabils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Símtöl og álag á hjúkrunarfræðinga</w:t>
            </w:r>
            <w:r>
              <w:rPr>
                <w:rFonts w:ascii="Arial" w:cs="Arial" w:eastAsia="Arial" w:hAnsi="Arial"/>
                <w:b/>
                <w:bCs/>
                <w:color w:val="B01268"/>
                <w:sz w:val="12"/>
                <w:szCs w:val="12"/>
              </w:rPr>
              <w:t xml:space="preserve"> nýtt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símtala á stöð á mánuði, ef HSU getur tekið þau saman. Einnig tímamæling: hve langan tíma starfsfólk ver í erindi sem er beint til Fjarlækninga, borið saman við erindi sem er afgreitt á staðnum (tvær vikur, um 40 erindi í hvorum hópi).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HSU og tímamæling á stöð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12 mánuði aftur og áfram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Bið og afkastageta</w:t>
            </w:r>
            <w:r>
              <w:rPr>
                <w:rFonts w:ascii="Arial" w:cs="Arial" w:eastAsia="Arial" w:hAnsi="Arial"/>
                <w:b/>
                <w:bCs/>
                <w:color w:val="B01268"/>
                <w:sz w:val="12"/>
                <w:szCs w:val="12"/>
              </w:rPr>
              <w:t xml:space="preserve"> nýtt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Bið eftir tíma hjá lækni á stöðinni, í dögum, fyrir og eftir að þjónustan hefst. Ákveða þarf með HSU hvernig biðin er mæld og hvort gögnin eru til.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HSU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12 mánuði aftur og áfram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Kostnaður</w:t>
            </w:r>
            <w:r>
              <w:rPr>
                <w:rFonts w:ascii="Arial" w:cs="Arial" w:eastAsia="Arial" w:hAnsi="Arial"/>
                <w:b/>
                <w:bCs/>
                <w:color w:val="B01268"/>
                <w:sz w:val="12"/>
                <w:szCs w:val="12"/>
              </w:rPr>
              <w:t xml:space="preserve"> nýtt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Kostnaður stöðvar við afleysingar og verktakalækna fyrir og eftir að þjónustan hefst, borinn saman við fjölda erinda sem leyst er úr í fjarþjónustu. Nýtist í umræðu um fjármögnun.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HSU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12 mánuði aftur og áfram</w:t>
            </w:r>
          </w:p>
        </w:tc>
      </w:tr>
      <w:tr>
        <w:trPr>
          <w:cantSplit/>
        </w:trPr>
        <w:tc>
          <w:tcPr>
            <w:tcW w:type="dxa" w:w="10658"/>
            <w:gridSpan w:val="4"/>
            <w:tcBorders>
              <w:top w:val="none" w:color="FFFFFF" w:sz="0"/>
              <w:left w:val="none" w:color="FFFFFF" w:sz="0"/>
              <w:bottom w:val="single" w:color="173F66" w:sz="8"/>
              <w:right w:val="none" w:color="FFFFFF" w:sz="0"/>
            </w:tcBorders>
            <w:tcMar>
              <w:top w:type="dxa" w:w="56"/>
              <w:left w:type="dxa" w:w="0"/>
              <w:bottom w:type="dxa" w:w="22"/>
              <w:right w:type="dxa" w:w="0"/>
            </w:tcMar>
          </w:tcPr>
          <w:p>
            <w:pPr>
              <w:keepNext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73F66"/>
                <w:sz w:val="15"/>
                <w:szCs w:val="15"/>
              </w:rPr>
              <w:t xml:space="preserve">3. Er þjónustan örugg?</w:t>
            </w:r>
          </w:p>
        </w:tc>
      </w:tr>
      <w:tr>
        <w:trPr>
          <w:cantSplit/>
        </w:trPr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Atvik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óvæntra atvika, það er atvika sem ollu eða hefðu getað valdið sjúklingi tjóni, og þar af alvarleg atvik. Sama skilgreining hjá báðum. Sjúklingar og starfsfólk HSU geta tilkynnt atvik.</w:t>
            </w:r>
          </w:p>
        </w:tc>
        <w:tc>
          <w:tcPr>
            <w:tcW w:type="dxa" w:w="1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Atvikaskráning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Skráð jafnóðum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Forskimun (triage)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erinda sem spurningalistinn stöðvar og fjöldi sem læknir vísar frá. Sérstaklega eru talin erindi sem listinn hefði átt að stöðva, og bráð veikindi sem komust í gegnum hann.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Frá fyrsta degi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Myndsímtal við mat á rauðum flöggum</w:t>
            </w:r>
            <w:r>
              <w:rPr>
                <w:rFonts w:ascii="Arial" w:cs="Arial" w:eastAsia="Arial" w:hAnsi="Arial"/>
                <w:b/>
                <w:bCs/>
                <w:color w:val="B01268"/>
                <w:sz w:val="12"/>
                <w:szCs w:val="12"/>
              </w:rPr>
              <w:t xml:space="preserve"> hugmynd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Ósamþykkt hugmynd að úrbót: læknir býður myndsímtal til að meta rautt flagg betur áður en erindi er vísað frá. Hæfist eftir 6 mánuði. Borið saman hlutfall erinda sem er vísað frá vegna rauðra flagga fyrir og eftir.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Eftir 6 mánuði, borið saman við fyrstu 6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Leitað annað innan 7 daga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Hlutfall svarenda sem leituðu annað vegna sama vanda, og hvert. HSU ber auk þess erindin saman við Sögu, fer yfir 50–100 sjúkraskrár og skilar fjölda vegna sama vanda.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Könnun, dagur 7, og Saga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Yfirferð eftir 6 og 12 mánuði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Rétt greining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Hlutfall svarenda sem fengu aðra greiningu annars staðar. Í yfirferð HSU er skráð hvort greining Fjarlækninga stóðst.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Könnun, dagur 7, og Saga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Eftir 6 og 12 mánuði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Aukaverkanir lyfja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þeirra sem fengu alvarlegar aukaverkanir eða ofnæmisviðbrögð og þurftu að leita læknis, af þeim sem fengu ávísað lyfi. Farið er yfir hvert tilvik sem atvik.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Könnun, dagur 7, og atvikaskráning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Viku eftir erindi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Sýklalyf og aðrar lyfjaávísanir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Hlutfall erinda þar sem sýklalyfi er ávísað og hlutfall þar sem einhverju lyfi er ávísað. Borið saman við ávísanir HSU við sömu greiningum á baseline-tímabilinu.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 og Saga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Frá fyrsta degi</w:t>
            </w:r>
          </w:p>
        </w:tc>
      </w:tr>
      <w:tr>
        <w:trPr>
          <w:cantSplit/>
        </w:trPr>
        <w:tc>
          <w:tcPr>
            <w:tcW w:type="dxa" w:w="179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Ákvörðunartré</w:t>
            </w:r>
          </w:p>
        </w:tc>
        <w:tc>
          <w:tcPr>
            <w:tcW w:type="dxa" w:w="5838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Hlutfall erinda þar sem læknir staðfestir niðurstöðu ákvörðunartrésins. Þegar læknir breytir henni er ástæðan skráð.</w:t>
            </w:r>
          </w:p>
        </w:tc>
        <w:tc>
          <w:tcPr>
            <w:tcW w:type="dxa" w:w="147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Medalia</w:t>
            </w:r>
          </w:p>
        </w:tc>
        <w:tc>
          <w:tcPr>
            <w:tcW w:type="dxa" w:w="1560"/>
            <w:tcBorders>
              <w:top w:val="single" w:color="D9DEE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9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Frá fyrsta degi</w:t>
            </w:r>
          </w:p>
        </w:tc>
      </w:tr>
    </w:tbl>
    <w:p>
      <w:pPr>
        <w:keepNext/>
        <w:pBdr>
          <w:bottom w:val="single" w:color="173F66" w:sz="8"/>
        </w:pBdr>
        <w:spacing w:after="40" w:before="110"/>
      </w:pPr>
      <w:r>
        <w:rPr>
          <w:rFonts w:ascii="Arial" w:cs="Arial" w:eastAsia="Arial" w:hAnsi="Arial"/>
          <w:b/>
          <w:bCs/>
          <w:color w:val="173F66"/>
          <w:sz w:val="15"/>
          <w:szCs w:val="15"/>
        </w:rPr>
        <w:t xml:space="preserve">Tímalína á hverri stöð</w:t>
      </w:r>
    </w:p>
    <w:tbl>
      <w:tblPr>
        <w:tblW w:type="dxa" w:w="106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1"/>
        <w:gridCol w:w="2131"/>
        <w:gridCol w:w="2131"/>
        <w:gridCol w:w="2131"/>
        <w:gridCol w:w="2134"/>
      </w:tblGrid>
      <w:tr>
        <w:trPr>
          <w:cantSplit/>
        </w:trPr>
        <w:tc>
          <w:tcPr>
            <w:tcW w:type="dxa" w:w="2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Áður en mælt er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Skilgreiningar, kóðalisti og spurningar kannana ákveðin. Skráning í Medalia sett upp.</w:t>
            </w:r>
          </w:p>
        </w:tc>
        <w:tc>
          <w:tcPr>
            <w:tcW w:type="dxa" w:w="2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Strax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Baseline úr Sögu, 36 mánuði aftur, mánuð fyrir mánuð.</w:t>
            </w:r>
          </w:p>
        </w:tc>
        <w:tc>
          <w:tcPr>
            <w:tcW w:type="dxa" w:w="2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Eftir 1 mánuð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Fyrsta stöðumat á nýrri stöð, úr Medalia og könnunum. Brugðist við því sem betur má fara.</w:t>
            </w:r>
          </w:p>
        </w:tc>
        <w:tc>
          <w:tcPr>
            <w:tcW w:type="dxa" w:w="2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Eftir 6 mánuði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Áfangaskýrsla. Gögn úr Medalia, talning úr Sögu og yfirferð 7 daga úrtaks.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A2330"/>
                <w:sz w:val="13"/>
                <w:szCs w:val="13"/>
              </w:rPr>
              <w:t xml:space="preserve">Eftir 12 mánuði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3A4553"/>
                <w:sz w:val="13"/>
                <w:szCs w:val="13"/>
              </w:rPr>
              <w:t xml:space="preserve">Lokaskýrsla með sömu gögnum, auk starfsmannakönnunar.</w:t>
            </w:r>
          </w:p>
        </w:tc>
      </w:tr>
    </w:tbl>
    <w:p>
      <w:pPr>
        <w:spacing w:after="0" w:before="50" w:line="240"/>
      </w:pPr>
      <w:r>
        <w:rPr>
          <w:rFonts w:ascii="Arial" w:cs="Arial" w:eastAsia="Arial" w:hAnsi="Arial"/>
          <w:color w:val="5A6472"/>
          <w:sz w:val="13"/>
          <w:szCs w:val="13"/>
        </w:rPr>
        <w:t xml:space="preserve">„Frá fyrsta degi“ þýðir að gögnin eru skráð við hvert erindi og ekki er hægt að sækja þau eftir á. Medalia er sjúkraskrárkerfi Fjarlækninga og Saga sjúkraskrárkerfi HSU. Í Vestmannaeyjum hófst þjónustan 17. ágúst 2026. Áfangaskýrsla verður því í febrúar 2027 og lokaskýrsla í ágúst 2027.</w:t>
      </w:r>
    </w:p>
    <w:p>
      <w:pPr>
        <w:spacing w:after="0" w:before="0" w:line="120"/>
      </w:pPr>
      <w:r>
        <w:rPr>
          <w:rFonts w:ascii="Arial" w:cs="Arial" w:eastAsia="Arial" w:hAnsi="Arial"/>
          <w:color w:val="1A2330"/>
          <w:sz w:val="13"/>
          <w:szCs w:val="13"/>
        </w:rPr>
        <w:t xml:space="preserve"/>
      </w:r>
    </w:p>
    <w:tbl>
      <w:tblPr>
        <w:tblW w:type="dxa" w:w="106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97"/>
        <w:gridCol w:w="4157"/>
        <w:gridCol w:w="2504"/>
      </w:tblGrid>
      <w:tr>
        <w:tc>
          <w:tcPr>
            <w:tcW w:type="dxa" w:w="3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60"/>
            </w:tcMar>
            <w:vAlign w:val="top"/>
          </w:tcPr>
          <w:p>
            <w:pPr>
              <w:pBdr>
                <w:bottom w:val="single" w:color="173F66" w:sz="8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73F66"/>
                <w:sz w:val="15"/>
                <w:szCs w:val="15"/>
              </w:rPr>
              <w:t xml:space="preserve">Gögn sem við óskum eftir frá HSU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Fjöldi greininga af kóðalistanum úr Sögu, 36 mánuði aftur, mánuð fyrir mánuð á hverri stöð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Þar af fjöldi þar sem sýklalyfi var ávísað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Sama talning eftir 6 og 12 mánuði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Tengiliður sem fer yfir 7 daga úrtakið, og samkomulag um miðlun gagna vegna þess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Sameiginleg skilgreining á atvikum og dreifing starfsmannakönnunar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Ef til eru: símtöl á mánuði, bið eftir tíma og kostnaður við afleysingar, 12 mánuði aftur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60"/>
            </w:tcMar>
            <w:vAlign w:val="top"/>
          </w:tcPr>
          <w:p>
            <w:pPr>
              <w:pBdr>
                <w:bottom w:val="single" w:color="173F66" w:sz="8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73F66"/>
                <w:sz w:val="15"/>
                <w:szCs w:val="15"/>
              </w:rPr>
              <w:t xml:space="preserve">Það sem við þurfum að koma okkur saman 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Kóðalistinn: 3–5 ICD-10 greiningar fyrir hverja tegund erindis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Hvað telst leyst, vísað áfram og vísað frá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Aðalmælikvarði. Tillaga okkar er hlutfall erinda sem leyst er úr í fjarþjónustu, innan kóðalistans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Aðlögunartími. Við leggjum til að fyrstu fjórar vikur á nýrri stöð teljist ekki með í aðalniðurstöðu en séu birtar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Spurningar kannana, þar á meðal nýju könnunarinnar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Hvaða nýju þætti er raunhæft að mæla með gögnum HSU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4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Hvort taka eigi upp myndsímtöl eftir 6 mánuði</w:t>
            </w:r>
          </w:p>
        </w:tc>
        <w:tc>
          <w:tcPr>
            <w:tcW w:type="dxa" w:w="2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73F66" w:sz="8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73F66"/>
                <w:sz w:val="15"/>
                <w:szCs w:val="15"/>
              </w:rPr>
              <w:t xml:space="preserve">Persónuvernd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Frá HSU berast aðeins samantektartölur, það er fjöldi eftir stöð og mánuði. Engar kennitölur eða dagsetningar fylgja.</w:t>
            </w:r>
          </w:p>
          <w:p>
            <w:pPr>
              <w:spacing w:after="40" w:line="240"/>
            </w:pPr>
            <w:r>
              <w:rPr>
                <w:rFonts w:ascii="Arial" w:cs="Arial" w:eastAsia="Arial" w:hAnsi="Arial"/>
                <w:color w:val="1A2330"/>
                <w:sz w:val="13"/>
                <w:szCs w:val="13"/>
              </w:rPr>
              <w:t xml:space="preserve">Tölur undir fimm eru ekki birtar. Matið er innra gæðaeftirlit samkvæmt lögum nr. 41/2007.</w:t>
            </w:r>
          </w:p>
        </w:tc>
      </w:tr>
    </w:tbl>
    <w:p>
      <w:pPr>
        <w:pBdr>
          <w:top w:val="single" w:color="D9DEE5" w:sz="4" w:space="4"/>
        </w:pBdr>
        <w:tabs>
          <w:tab w:val="right" w:pos="10658"/>
        </w:tabs>
        <w:spacing w:before="90"/>
      </w:pPr>
      <w:r>
        <w:rPr>
          <w:rFonts w:ascii="Arial" w:cs="Arial" w:eastAsia="Arial" w:hAnsi="Arial"/>
          <w:color w:val="5A6472"/>
          <w:sz w:val="12"/>
          <w:szCs w:val="12"/>
        </w:rPr>
        <w:t xml:space="preserve">Fjarlækningar ehf. · fjarlaekningar.is</w:t>
      </w:r>
      <w:r>
        <w:t xml:space="preserve">	</w:t>
      </w:r>
      <w:r>
        <w:rPr>
          <w:rFonts w:ascii="Arial" w:cs="Arial" w:eastAsia="Arial" w:hAnsi="Arial"/>
          <w:color w:val="5A6472"/>
          <w:sz w:val="12"/>
          <w:szCs w:val="12"/>
        </w:rPr>
        <w:t xml:space="preserve">Drög til samþykktar · 13. október 2026</w:t>
      </w:r>
    </w:p>
    <w:sectPr>
      <w:pgSz w:w="11906" w:h="16838" w:orient="portrait"/>
      <w:pgMar w:top="420" w:right="624" w:bottom="340" w:left="62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13"/>
        <w:szCs w:val="1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c8bf01cc5566f6c94936997933b368df4d50a2f.png"/><Relationship Id="rId8" Type="http://schemas.openxmlformats.org/officeDocument/2006/relationships/image" Target="media/289899a56b2e572ac9bb39bca706e84dcadee61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Rannsóknarrammi fyrir fjarlækningaþjónustu HSU</dc:title>
  <dc:creator>Fjarlækningar ehf.</dc:creator>
  <cp:lastModifiedBy>Un-named</cp:lastModifiedBy>
  <cp:revision>1</cp:revision>
  <dcterms:created xsi:type="dcterms:W3CDTF">2026-10-13T09:23:05.016Z</dcterms:created>
  <dcterms:modified xsi:type="dcterms:W3CDTF">2026-10-13T09:23:05.018Z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