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bidi/>
        <w:spacing w:after="120"/>
        <w:jc w:val="center"/>
      </w:pPr>
      <w:r>
        <w:rPr>
          <w:b w:val="0"/>
          <w:color w:val="29595E"/>
          <w:sz w:val="28"/>
          <w:rtl/>
          <w:rFonts w:ascii="Tahoma" w:hAnsi="Tahoma" w:cs="Tahoma" w:eastAsia="Tahoma"/>
          <w:szCs w:val="28"/>
        </w:rPr>
        <w:t>شركة الهضب للتجارة والمقاولات</w:t>
      </w:r>
    </w:p>
    <w:p>
      <w:pPr>
        <w:bidi/>
        <w:spacing w:after="200"/>
        <w:jc w:val="center"/>
      </w:pPr>
      <w:r>
        <w:rPr>
          <w:b/>
          <w:color w:val="29595E"/>
          <w:sz w:val="56"/>
          <w:rtl/>
          <w:rFonts w:ascii="Tahoma" w:hAnsi="Tahoma" w:cs="Tahoma" w:eastAsia="Tahoma"/>
          <w:szCs w:val="56"/>
          <w:bCs/>
        </w:rPr>
        <w:t>خطة التشغيل المتوازي</w:t>
      </w:r>
    </w:p>
    <w:p>
      <w:pPr>
        <w:bidi/>
        <w:spacing w:after="120"/>
        <w:jc w:val="center"/>
      </w:pPr>
      <w:r>
        <w:rPr>
          <w:b w:val="0"/>
          <w:sz w:val="28"/>
          <w:rtl/>
          <w:rFonts w:ascii="Tahoma" w:hAnsi="Tahoma" w:cs="Tahoma" w:eastAsia="Tahoma"/>
          <w:szCs w:val="28"/>
        </w:rPr>
        <w:t>أربعة أسابيع بين النظام الحالي والنظام الجديد</w:t>
      </w:r>
    </w:p>
    <w:p/>
    <w:p>
      <w:pPr>
        <w:bidi/>
        <w:spacing w:after="120"/>
        <w:jc w:val="center"/>
      </w:pPr>
      <w:r>
        <w:rPr>
          <w:b w:val="0"/>
          <w:sz w:val="21"/>
          <w:rtl/>
          <w:rFonts w:ascii="Tahoma" w:hAnsi="Tahoma" w:cs="Tahoma" w:eastAsia="Tahoma"/>
          <w:szCs w:val="21"/>
        </w:rPr>
        <w:t>قبل الاعتماد النهائي — الإصدار 25.6</w:t>
      </w:r>
    </w:p>
    <w:p>
      <w:r>
        <w:br w:type="page"/>
      </w:r>
    </w:p>
    <w:p>
      <w:pPr>
        <w:keepNext/>
        <w:bidi/>
        <w:spacing w:after="160" w:before="280"/>
        <w:jc w:val="right"/>
      </w:pPr>
      <w:r>
        <w:rPr>
          <w:b/>
          <w:color w:val="29595E"/>
          <w:sz w:val="36"/>
          <w:rtl/>
          <w:rFonts w:ascii="Tahoma" w:hAnsi="Tahoma" w:cs="Tahoma" w:eastAsia="Tahoma"/>
          <w:szCs w:val="36"/>
          <w:bCs/>
        </w:rPr>
        <w:t>1. الهدف</w:t>
      </w:r>
    </w:p>
    <w:p>
      <w:pPr>
        <w:bidi/>
        <w:spacing w:after="120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نثبت بالأرقام، وليس بالانطباع، أن النظام الجديد يعطي نفس نتائج النظام الحالي (po-tracker وملفات Excel) لمدة أربعة أسابيع كاملة، ونكتشف مشاكل Access والشبكة والفريق قبل أن نعتمد عليه وحده.</w:t>
      </w:r>
    </w:p>
    <w:p>
      <w:pPr>
        <w:keepNext/>
        <w:bidi/>
        <w:spacing w:after="160" w:before="280"/>
        <w:jc w:val="right"/>
      </w:pPr>
      <w:r>
        <w:rPr>
          <w:b/>
          <w:color w:val="29595E"/>
          <w:sz w:val="36"/>
          <w:rtl/>
          <w:rFonts w:ascii="Tahoma" w:hAnsi="Tahoma" w:cs="Tahoma" w:eastAsia="Tahoma"/>
          <w:szCs w:val="36"/>
          <w:bCs/>
        </w:rPr>
        <w:t>2. شروط البدء (يجب اكتمالها كلها)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454"/>
        <w:gridCol w:w="5953"/>
        <w:gridCol w:w="1984"/>
        <w:gridCol w:w="850"/>
      </w:tblGrid>
      <w:tr>
        <w:tc>
          <w:tcPr>
            <w:tcW w:type="dxa" w:w="454"/>
            <w:shd w:val="clear" w:color="auto" w:fill="29595E"/>
          </w:tcPr>
          <w:p>
            <w:pPr>
              <w:bidi/>
              <w:jc w:val="right"/>
            </w:pPr>
            <w:r>
              <w:rPr>
                <w:b/>
                <w:color w:val="FFFFFF"/>
                <w:sz w:val="21"/>
                <w:rtl/>
                <w:rFonts w:ascii="Tahoma" w:hAnsi="Tahoma" w:cs="Tahoma" w:eastAsia="Tahoma"/>
                <w:szCs w:val="21"/>
                <w:bCs/>
              </w:rPr>
              <w:t>#</w:t>
            </w:r>
          </w:p>
        </w:tc>
        <w:tc>
          <w:tcPr>
            <w:tcW w:type="dxa" w:w="5953"/>
            <w:shd w:val="clear" w:color="auto" w:fill="29595E"/>
          </w:tcPr>
          <w:p>
            <w:pPr>
              <w:bidi/>
              <w:jc w:val="right"/>
            </w:pPr>
            <w:r>
              <w:rPr>
                <w:b/>
                <w:color w:val="FFFFFF"/>
                <w:sz w:val="21"/>
                <w:rtl/>
                <w:rFonts w:ascii="Tahoma" w:hAnsi="Tahoma" w:cs="Tahoma" w:eastAsia="Tahoma"/>
                <w:szCs w:val="21"/>
                <w:bCs/>
              </w:rPr>
              <w:t>الشرط</w:t>
            </w:r>
          </w:p>
        </w:tc>
        <w:tc>
          <w:tcPr>
            <w:tcW w:type="dxa" w:w="1984"/>
            <w:shd w:val="clear" w:color="auto" w:fill="29595E"/>
          </w:tcPr>
          <w:p>
            <w:pPr>
              <w:bidi/>
              <w:jc w:val="right"/>
            </w:pPr>
            <w:r>
              <w:rPr>
                <w:b/>
                <w:color w:val="FFFFFF"/>
                <w:sz w:val="21"/>
                <w:rtl/>
                <w:rFonts w:ascii="Tahoma" w:hAnsi="Tahoma" w:cs="Tahoma" w:eastAsia="Tahoma"/>
                <w:szCs w:val="21"/>
                <w:bCs/>
              </w:rPr>
              <w:t>المسؤول</w:t>
            </w:r>
          </w:p>
        </w:tc>
        <w:tc>
          <w:tcPr>
            <w:tcW w:type="dxa" w:w="850"/>
            <w:shd w:val="clear" w:color="auto" w:fill="29595E"/>
          </w:tcPr>
          <w:p>
            <w:pPr>
              <w:bidi/>
              <w:jc w:val="right"/>
            </w:pPr>
            <w:r>
              <w:rPr>
                <w:b/>
                <w:color w:val="FFFFFF"/>
                <w:sz w:val="21"/>
                <w:rtl/>
                <w:rFonts w:ascii="Tahoma" w:hAnsi="Tahoma" w:cs="Tahoma" w:eastAsia="Tahoma"/>
                <w:szCs w:val="21"/>
                <w:bCs/>
              </w:rPr>
              <w:t>تم؟</w:t>
            </w:r>
          </w:p>
        </w:tc>
      </w:tr>
      <w:tr>
        <w:tc>
          <w:tcPr>
            <w:tcW w:type="dxa" w:w="45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1</w:t>
            </w:r>
          </w:p>
        </w:tc>
        <w:tc>
          <w:tcPr>
            <w:tcW w:type="dxa" w:w="5953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جواب قسم IT على أسئلة الرسالة، وخادم مخصّص جاهز</w:t>
            </w:r>
          </w:p>
        </w:tc>
        <w:tc>
          <w:tcPr>
            <w:tcW w:type="dxa" w:w="198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قسم IT</w:t>
            </w:r>
          </w:p>
        </w:tc>
        <w:tc>
          <w:tcPr>
            <w:tcW w:type="dxa" w:w="850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2</w:t>
            </w:r>
          </w:p>
        </w:tc>
        <w:tc>
          <w:tcPr>
            <w:tcW w:type="dxa" w:w="5953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تثبيت النظام على الخادم وتشغيل python migrate.py وفتح /health والتأكد من status = ok</w:t>
            </w:r>
          </w:p>
        </w:tc>
        <w:tc>
          <w:tcPr>
            <w:tcW w:type="dxa" w:w="198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مدير النظام</w:t>
            </w:r>
          </w:p>
        </w:tc>
        <w:tc>
          <w:tcPr>
            <w:tcW w:type="dxa" w:w="850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3</w:t>
            </w:r>
          </w:p>
        </w:tc>
        <w:tc>
          <w:tcPr>
            <w:tcW w:type="dxa" w:w="5953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تجربة استعادة نسخة احتياطية على جهاز اختبار والتأكد أن النظام يفتح بها</w:t>
            </w:r>
          </w:p>
        </w:tc>
        <w:tc>
          <w:tcPr>
            <w:tcW w:type="dxa" w:w="198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مدير النظام</w:t>
            </w:r>
          </w:p>
        </w:tc>
        <w:tc>
          <w:tcPr>
            <w:tcW w:type="dxa" w:w="850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4</w:t>
            </w:r>
          </w:p>
        </w:tc>
        <w:tc>
          <w:tcPr>
            <w:tcW w:type="dxa" w:w="5953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مسح بيانات الاختبار بأداة wipe_test_data (عرض أولاً ثم تنفيذ) ثم نسخة احتياطية فوراً</w:t>
            </w:r>
          </w:p>
        </w:tc>
        <w:tc>
          <w:tcPr>
            <w:tcW w:type="dxa" w:w="198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مدير النظام</w:t>
            </w:r>
          </w:p>
        </w:tc>
        <w:tc>
          <w:tcPr>
            <w:tcW w:type="dxa" w:w="850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5</w:t>
            </w:r>
          </w:p>
        </w:tc>
        <w:tc>
          <w:tcPr>
            <w:tcW w:type="dxa" w:w="5953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حذف ملف instance\secret.key والنظام متوقف (لتجديد مفتاح الجلسات) ثم التشغيل</w:t>
            </w:r>
          </w:p>
        </w:tc>
        <w:tc>
          <w:tcPr>
            <w:tcW w:type="dxa" w:w="198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مدير النظام</w:t>
            </w:r>
          </w:p>
        </w:tc>
        <w:tc>
          <w:tcPr>
            <w:tcW w:type="dxa" w:w="850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6</w:t>
            </w:r>
          </w:p>
        </w:tc>
        <w:tc>
          <w:tcPr>
            <w:tcW w:type="dxa" w:w="5953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إنشاء حسابات الفريق وتحديد الأدوار (ومنح «تعديل الأسعار» لمن يحتاجها فقط)</w:t>
            </w:r>
          </w:p>
        </w:tc>
        <w:tc>
          <w:tcPr>
            <w:tcW w:type="dxa" w:w="198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مدير النظام</w:t>
            </w:r>
          </w:p>
        </w:tc>
        <w:tc>
          <w:tcPr>
            <w:tcW w:type="dxa" w:w="850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7</w:t>
            </w:r>
          </w:p>
        </w:tc>
        <w:tc>
          <w:tcPr>
            <w:tcW w:type="dxa" w:w="5953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إعطاء الفريق «دليل المستخدم» وتدريب 30 دقيقة</w:t>
            </w:r>
          </w:p>
        </w:tc>
        <w:tc>
          <w:tcPr>
            <w:tcW w:type="dxa" w:w="198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مدير المشروع</w:t>
            </w:r>
          </w:p>
        </w:tc>
        <w:tc>
          <w:tcPr>
            <w:tcW w:type="dxa" w:w="850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8</w:t>
            </w:r>
          </w:p>
        </w:tc>
        <w:tc>
          <w:tcPr>
            <w:tcW w:type="dxa" w:w="5953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تحديد 2–3 مستخدمين رئيسيين يدخلون البيانات الحقيقية، ومسؤول مقارنة أسبوعية</w:t>
            </w:r>
          </w:p>
        </w:tc>
        <w:tc>
          <w:tcPr>
            <w:tcW w:type="dxa" w:w="198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مدير المشروع</w:t>
            </w:r>
          </w:p>
        </w:tc>
        <w:tc>
          <w:tcPr>
            <w:tcW w:type="dxa" w:w="850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☐</w:t>
            </w:r>
          </w:p>
        </w:tc>
      </w:tr>
    </w:tbl>
    <w:p>
      <w:pPr>
        <w:spacing w:after="40"/>
      </w:pPr>
    </w:p>
    <w:p>
      <w:pPr>
        <w:keepNext/>
        <w:bidi/>
        <w:spacing w:after="160" w:before="280"/>
        <w:jc w:val="right"/>
      </w:pPr>
      <w:r>
        <w:rPr>
          <w:b/>
          <w:color w:val="29595E"/>
          <w:sz w:val="36"/>
          <w:rtl/>
          <w:rFonts w:ascii="Tahoma" w:hAnsi="Tahoma" w:cs="Tahoma" w:eastAsia="Tahoma"/>
          <w:szCs w:val="36"/>
          <w:bCs/>
        </w:rPr>
        <w:t>3. ما يُدخل في النظام الجديد</w:t>
      </w:r>
    </w:p>
    <w:p>
      <w:pPr>
        <w:bidi/>
        <w:spacing w:after="60"/>
        <w:ind w:right="227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•  كل أمر شراء جديد يصدر خلال الأسابيع الأربعة يُدخل في النظامين.</w:t>
      </w:r>
    </w:p>
    <w:p>
      <w:pPr>
        <w:bidi/>
        <w:spacing w:after="60"/>
        <w:ind w:right="227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•  كل مستخلص جديد وكل دفعة وكل دورة صرف تُسجَّل في النظامين.</w:t>
      </w:r>
    </w:p>
    <w:p>
      <w:pPr>
        <w:bidi/>
        <w:spacing w:after="60"/>
        <w:ind w:right="227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•  المقاولون والموردون الحاليون: تُنقل بياناتهم الأساسية وأوراقهم مرة واحدة في الأسبوع الأول.</w:t>
      </w:r>
    </w:p>
    <w:p>
      <w:pPr>
        <w:bidi/>
        <w:spacing w:after="60"/>
        <w:ind w:right="227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•  العقود السارية: تُضاف كعقود مؤرشفة بقيمها وملفاتها الموقّعة.</w:t>
      </w:r>
    </w:p>
    <w:p>
      <w:pPr>
        <w:bidi/>
        <w:spacing w:after="60"/>
        <w:ind w:right="227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•  الأرصدة الافتتاحية: لكل مقاول، يُضاف رصيده الافتتاحي في اليوم الأول كحركة يدوية في «الحركات المالية» ليبدأ كشف الحساب صحيحاً. (يتفق مدير المشروع مع المالية على الرقم ومن أي تاريخ.)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EF3C7"/>
          </w:tcPr>
          <w:p>
            <w:pPr>
              <w:bidi/>
              <w:jc w:val="right"/>
            </w:pPr>
            <w:r>
              <w:rPr>
                <w:b/>
                <w:sz w:val="21"/>
                <w:rtl/>
                <w:rFonts w:ascii="Tahoma" w:hAnsi="Tahoma" w:cs="Tahoma" w:eastAsia="Tahoma"/>
                <w:szCs w:val="21"/>
                <w:bCs/>
              </w:rPr>
              <w:t xml:space="preserve">انتبه: </w:t>
            </w:r>
            <w:r>
              <w:rPr>
                <w:sz w:val="21"/>
                <w:rtl/>
                <w:rFonts w:ascii="Tahoma" w:hAnsi="Tahoma" w:cs="Tahoma" w:eastAsia="Tahoma"/>
                <w:szCs w:val="21"/>
              </w:rPr>
              <w:t>النظام الحالي يبقى المرجع الرسمي طوال الأسابيع الأربعة. النظام الجديد هو الذي يُختبر.</w:t>
            </w:r>
          </w:p>
        </w:tc>
      </w:tr>
    </w:tbl>
    <w:p>
      <w:pPr>
        <w:spacing w:after="40"/>
      </w:pPr>
    </w:p>
    <w:p>
      <w:pPr>
        <w:keepNext/>
        <w:bidi/>
        <w:spacing w:after="160" w:before="280"/>
        <w:jc w:val="right"/>
      </w:pPr>
      <w:r>
        <w:rPr>
          <w:b/>
          <w:color w:val="29595E"/>
          <w:sz w:val="36"/>
          <w:rtl/>
          <w:rFonts w:ascii="Tahoma" w:hAnsi="Tahoma" w:cs="Tahoma" w:eastAsia="Tahoma"/>
          <w:szCs w:val="36"/>
          <w:bCs/>
        </w:rPr>
        <w:t>4. الروتين الأسبوعي (كل أحد، 30 دقيقة)</w:t>
      </w:r>
    </w:p>
    <w:p>
      <w:pPr>
        <w:bidi/>
        <w:spacing w:after="60"/>
        <w:ind w:right="227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1.  افتح ملف «نموذج_المقارنة_الأسبوعية.xlsx» وانسخ ورقة الأسبوع الجديد.</w:t>
      </w:r>
    </w:p>
    <w:p>
      <w:pPr>
        <w:bidi/>
        <w:spacing w:after="60"/>
        <w:ind w:right="227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2.  املأ عمود «النظام الحالي» من ملفات Excel / po-tracker (الأرقام المطلوبة مكتوبة في كل سطر).</w:t>
      </w:r>
    </w:p>
    <w:p>
      <w:pPr>
        <w:bidi/>
        <w:spacing w:after="60"/>
        <w:ind w:right="227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3.  املأ عمود «النظام الجديد» من الصفحة الرئيسية ولوحة مؤشرات المقاولين وكشف حساب كل مقاول رئيسي (المصدر مكتوب بجانب كل سطر).</w:t>
      </w:r>
    </w:p>
    <w:p>
      <w:pPr>
        <w:bidi/>
        <w:spacing w:after="60"/>
        <w:ind w:right="227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4.  يحسب الملف الفرق ويلوّن كل سطر: أخضر «مطابق» أو أحمر «فرق».</w:t>
      </w:r>
    </w:p>
    <w:p>
      <w:pPr>
        <w:bidi/>
        <w:spacing w:after="60"/>
        <w:ind w:right="227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5.  لكل سطر أحمر: ابحث عن السبب وسجّله في ورقة «سجل الفروقات» (أي النظامين الخاطئ؟ ولماذا؟).</w:t>
      </w:r>
    </w:p>
    <w:p>
      <w:pPr>
        <w:bidi/>
        <w:spacing w:after="60"/>
        <w:ind w:right="227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6.  في نهاية الاجتماع املأ ورقة «قرار الأسبوع»: هل نستمر؟ ماذا نصلح؟</w:t>
      </w:r>
    </w:p>
    <w:p>
      <w:pPr>
        <w:bidi/>
        <w:spacing w:after="60"/>
        <w:ind w:right="227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7.  خذ نسخة احتياطية يدوية وتأكد من /health.</w:t>
      </w:r>
    </w:p>
    <w:p>
      <w:pPr>
        <w:keepNext/>
        <w:bidi/>
        <w:spacing w:after="160" w:before="280"/>
        <w:jc w:val="right"/>
      </w:pPr>
      <w:r>
        <w:rPr>
          <w:b/>
          <w:color w:val="29595E"/>
          <w:sz w:val="36"/>
          <w:rtl/>
          <w:rFonts w:ascii="Tahoma" w:hAnsi="Tahoma" w:cs="Tahoma" w:eastAsia="Tahoma"/>
          <w:szCs w:val="36"/>
          <w:bCs/>
        </w:rPr>
        <w:t>5. ما نراقبه كل أسبوع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1984"/>
        <w:gridCol w:w="5102"/>
        <w:gridCol w:w="2551"/>
      </w:tblGrid>
      <w:tr>
        <w:tc>
          <w:tcPr>
            <w:tcW w:type="dxa" w:w="1984"/>
            <w:shd w:val="clear" w:color="auto" w:fill="29595E"/>
          </w:tcPr>
          <w:p>
            <w:pPr>
              <w:bidi/>
              <w:jc w:val="right"/>
            </w:pPr>
            <w:r>
              <w:rPr>
                <w:b/>
                <w:color w:val="FFFFFF"/>
                <w:sz w:val="21"/>
                <w:rtl/>
                <w:rFonts w:ascii="Tahoma" w:hAnsi="Tahoma" w:cs="Tahoma" w:eastAsia="Tahoma"/>
                <w:szCs w:val="21"/>
                <w:bCs/>
              </w:rPr>
              <w:t>المحور</w:t>
            </w:r>
          </w:p>
        </w:tc>
        <w:tc>
          <w:tcPr>
            <w:tcW w:type="dxa" w:w="5102"/>
            <w:shd w:val="clear" w:color="auto" w:fill="29595E"/>
          </w:tcPr>
          <w:p>
            <w:pPr>
              <w:bidi/>
              <w:jc w:val="right"/>
            </w:pPr>
            <w:r>
              <w:rPr>
                <w:b/>
                <w:color w:val="FFFFFF"/>
                <w:sz w:val="21"/>
                <w:rtl/>
                <w:rFonts w:ascii="Tahoma" w:hAnsi="Tahoma" w:cs="Tahoma" w:eastAsia="Tahoma"/>
                <w:szCs w:val="21"/>
                <w:bCs/>
              </w:rPr>
              <w:t>المؤشر</w:t>
            </w:r>
          </w:p>
        </w:tc>
        <w:tc>
          <w:tcPr>
            <w:tcW w:type="dxa" w:w="2551"/>
            <w:shd w:val="clear" w:color="auto" w:fill="29595E"/>
          </w:tcPr>
          <w:p>
            <w:pPr>
              <w:bidi/>
              <w:jc w:val="right"/>
            </w:pPr>
            <w:r>
              <w:rPr>
                <w:b/>
                <w:color w:val="FFFFFF"/>
                <w:sz w:val="21"/>
                <w:rtl/>
                <w:rFonts w:ascii="Tahoma" w:hAnsi="Tahoma" w:cs="Tahoma" w:eastAsia="Tahoma"/>
                <w:szCs w:val="21"/>
                <w:bCs/>
              </w:rPr>
              <w:t>المقبول</w:t>
            </w:r>
          </w:p>
        </w:tc>
      </w:tr>
      <w:tr>
        <w:tc>
          <w:tcPr>
            <w:tcW w:type="dxa" w:w="198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دقة الأرقام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عدد الفروقات غير المفسَّرة</w:t>
            </w:r>
          </w:p>
        </w:tc>
        <w:tc>
          <w:tcPr>
            <w:tcW w:type="dxa" w:w="2551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صفر في الأسبوعين الأخيرين</w:t>
            </w:r>
          </w:p>
        </w:tc>
      </w:tr>
      <w:tr>
        <w:tc>
          <w:tcPr>
            <w:tcW w:type="dxa" w:w="198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السرعة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هل تبطئ الصفحات؟ (يقيّمها المستخدمون الرئيسيون من 1 إلى 5)</w:t>
            </w:r>
          </w:p>
        </w:tc>
        <w:tc>
          <w:tcPr>
            <w:tcW w:type="dxa" w:w="2551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4 فأكثر</w:t>
            </w:r>
          </w:p>
        </w:tc>
      </w:tr>
      <w:tr>
        <w:tc>
          <w:tcPr>
            <w:tcW w:type="dxa" w:w="198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الاستقرار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عدد مرات التوقف أو رسائل الخطأ 500</w:t>
            </w:r>
          </w:p>
        </w:tc>
        <w:tc>
          <w:tcPr>
            <w:tcW w:type="dxa" w:w="2551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صفر أخطاء مالية، وحادثتان بسيطتان كحد أقصى</w:t>
            </w:r>
          </w:p>
        </w:tc>
      </w:tr>
      <w:tr>
        <w:tc>
          <w:tcPr>
            <w:tcW w:type="dxa" w:w="198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النسخ الاحتياطي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/health = ok وعمر آخر نسخة أقل من 12 ساعة</w:t>
            </w:r>
          </w:p>
        </w:tc>
        <w:tc>
          <w:tcPr>
            <w:tcW w:type="dxa" w:w="2551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كل أيام الأسبوع</w:t>
            </w:r>
          </w:p>
        </w:tc>
      </w:tr>
      <w:tr>
        <w:tc>
          <w:tcPr>
            <w:tcW w:type="dxa" w:w="198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قبول الفريق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هل يعود المستخدمون للـExcel لأن النظام «أبطأ»؟</w:t>
            </w:r>
          </w:p>
        </w:tc>
        <w:tc>
          <w:tcPr>
            <w:tcW w:type="dxa" w:w="2551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لا</w:t>
            </w:r>
          </w:p>
        </w:tc>
      </w:tr>
      <w:tr>
        <w:tc>
          <w:tcPr>
            <w:tcW w:type="dxa" w:w="1984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الأمان</w:t>
            </w:r>
          </w:p>
        </w:tc>
        <w:tc>
          <w:tcPr>
            <w:tcW w:type="dxa" w:w="5102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محاولات دخول غريبة أو حسابات غير معروفة (سجل التدقيق)</w:t>
            </w:r>
          </w:p>
        </w:tc>
        <w:tc>
          <w:tcPr>
            <w:tcW w:type="dxa" w:w="2551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لا شيء</w:t>
            </w:r>
          </w:p>
        </w:tc>
      </w:tr>
    </w:tbl>
    <w:p>
      <w:pPr>
        <w:spacing w:after="40"/>
      </w:pPr>
    </w:p>
    <w:p>
      <w:pPr>
        <w:keepNext/>
        <w:bidi/>
        <w:spacing w:after="160" w:before="280"/>
        <w:jc w:val="right"/>
      </w:pPr>
      <w:r>
        <w:rPr>
          <w:b/>
          <w:color w:val="29595E"/>
          <w:sz w:val="36"/>
          <w:rtl/>
          <w:rFonts w:ascii="Tahoma" w:hAnsi="Tahoma" w:cs="Tahoma" w:eastAsia="Tahoma"/>
          <w:szCs w:val="36"/>
          <w:bCs/>
        </w:rPr>
        <w:t>6. معايير القرار بعد الأسبوع الرابع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29595E"/>
          </w:tcPr>
          <w:p>
            <w:pPr>
              <w:bidi/>
              <w:jc w:val="right"/>
            </w:pPr>
            <w:r>
              <w:rPr>
                <w:b/>
                <w:color w:val="FFFFFF"/>
                <w:sz w:val="21"/>
                <w:rtl/>
                <w:rFonts w:ascii="Tahoma" w:hAnsi="Tahoma" w:cs="Tahoma" w:eastAsia="Tahoma"/>
                <w:szCs w:val="21"/>
                <w:bCs/>
              </w:rPr>
              <w:t>القرار</w:t>
            </w:r>
          </w:p>
        </w:tc>
        <w:tc>
          <w:tcPr>
            <w:tcW w:type="dxa" w:w="7087"/>
            <w:shd w:val="clear" w:color="auto" w:fill="29595E"/>
          </w:tcPr>
          <w:p>
            <w:pPr>
              <w:bidi/>
              <w:jc w:val="right"/>
            </w:pPr>
            <w:r>
              <w:rPr>
                <w:b/>
                <w:color w:val="FFFFFF"/>
                <w:sz w:val="21"/>
                <w:rtl/>
                <w:rFonts w:ascii="Tahoma" w:hAnsi="Tahoma" w:cs="Tahoma" w:eastAsia="Tahoma"/>
                <w:szCs w:val="21"/>
                <w:bCs/>
              </w:rPr>
              <w:t>متى؟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اعتماد النظام الجديد</w:t>
            </w:r>
          </w:p>
        </w:tc>
        <w:tc>
          <w:tcPr>
            <w:tcW w:type="dxa" w:w="7087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لا فروقات مالية غير مفسَّرة في آخر أسبوعين، وجميع النسخ الاحتياطية سليمة، ولم تحدث أخطاء مالية، وقبول الفريق ≥ 4 من 5.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تمديد التجربة أسبوعين</w:t>
            </w:r>
          </w:p>
        </w:tc>
        <w:tc>
          <w:tcPr>
            <w:tcW w:type="dxa" w:w="7087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فروقات تم تفسيرها وإصلاحها لكن ظهرت في آخر أسبوع، أو بطء متقطع.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عدم الاعتماد</w:t>
            </w:r>
          </w:p>
        </w:tc>
        <w:tc>
          <w:tcPr>
            <w:tcW w:type="dxa" w:w="7087"/>
          </w:tcPr>
          <w:p>
            <w:pPr>
              <w:bidi/>
              <w:jc w:val="right"/>
            </w:pPr>
            <w:r>
              <w:rPr>
                <w:sz w:val="21"/>
                <w:rtl/>
                <w:rFonts w:ascii="Tahoma" w:hAnsi="Tahoma" w:cs="Tahoma" w:eastAsia="Tahoma"/>
                <w:szCs w:val="21"/>
              </w:rPr>
              <w:t>خطأ مالي في النظام نفسه (مبلغ خاطئ أو دفعة مكررة)، أو فقدان بيانات، أو تعطل متكرر يعطّل العمل.</w:t>
            </w:r>
          </w:p>
        </w:tc>
      </w:tr>
    </w:tbl>
    <w:p>
      <w:pPr>
        <w:spacing w:after="40"/>
      </w:pPr>
    </w:p>
    <w:p>
      <w:pPr>
        <w:keepNext/>
        <w:bidi/>
        <w:spacing w:after="160" w:before="280"/>
        <w:jc w:val="right"/>
      </w:pPr>
      <w:r>
        <w:rPr>
          <w:b/>
          <w:color w:val="29595E"/>
          <w:sz w:val="36"/>
          <w:rtl/>
          <w:rFonts w:ascii="Tahoma" w:hAnsi="Tahoma" w:cs="Tahoma" w:eastAsia="Tahoma"/>
          <w:szCs w:val="36"/>
          <w:bCs/>
        </w:rPr>
        <w:t>7. إذا حدث خطأ (خطة الطوارئ)</w:t>
      </w:r>
    </w:p>
    <w:p>
      <w:pPr>
        <w:bidi/>
        <w:spacing w:after="60"/>
        <w:ind w:right="227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1.  توقف عن إدخال أي بيانات جديدة في النظام الجديد فوراً، وأبلغ مدير النظام.</w:t>
      </w:r>
    </w:p>
    <w:p>
      <w:pPr>
        <w:bidi/>
        <w:spacing w:after="60"/>
        <w:ind w:right="227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2.  استمر في العمل على النظام الحالي (لا شيء يتوقف).</w:t>
      </w:r>
    </w:p>
    <w:p>
      <w:pPr>
        <w:bidi/>
        <w:spacing w:after="60"/>
        <w:ind w:right="227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3.  مدير النظام يأخذ نسخة احتياطية من الحالة الحالية قبل أي إصلاح.</w:t>
      </w:r>
    </w:p>
    <w:p>
      <w:pPr>
        <w:bidi/>
        <w:spacing w:after="60"/>
        <w:ind w:right="227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4.  إن كان الخلل في بيانات فقط: تُعاد من آخر نسخة سليمة، وتُدخَل العمليات الناقصة يدوياً من النظام الحالي.</w:t>
      </w:r>
    </w:p>
    <w:p>
      <w:pPr>
        <w:bidi/>
        <w:spacing w:after="60"/>
        <w:ind w:right="227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5.  يُسجَّل الحادث في «سجل الفروقات» بما حدث وكيف عولج، ويُرسل إلى مطوّر النظام للتصحيح.</w:t>
      </w:r>
    </w:p>
    <w:p>
      <w:pPr>
        <w:keepNext/>
        <w:bidi/>
        <w:spacing w:after="160" w:before="280"/>
        <w:jc w:val="right"/>
      </w:pPr>
      <w:r>
        <w:rPr>
          <w:b/>
          <w:color w:val="29595E"/>
          <w:sz w:val="36"/>
          <w:rtl/>
          <w:rFonts w:ascii="Tahoma" w:hAnsi="Tahoma" w:cs="Tahoma" w:eastAsia="Tahoma"/>
          <w:szCs w:val="36"/>
          <w:bCs/>
        </w:rPr>
        <w:t>8. بعد الاعتماد</w:t>
      </w:r>
    </w:p>
    <w:p>
      <w:pPr>
        <w:bidi/>
        <w:spacing w:after="60"/>
        <w:ind w:right="227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•  تجميد النظام الحالي للقراءة فقط (يُحفظ كأرشيف).</w:t>
      </w:r>
    </w:p>
    <w:p>
      <w:pPr>
        <w:bidi/>
        <w:spacing w:after="60"/>
        <w:ind w:right="227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•  إقفال الفترة المحاسبية السابقة وتدقيق الأرصدة النهائية.</w:t>
      </w:r>
    </w:p>
    <w:p>
      <w:pPr>
        <w:bidi/>
        <w:spacing w:after="60"/>
        <w:ind w:right="227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•  جدولة تجربة استعادة النسخ الاحتياطية كل ثلاثة أشهر.</w:t>
      </w:r>
    </w:p>
    <w:p>
      <w:pPr>
        <w:bidi/>
        <w:spacing w:after="60"/>
        <w:ind w:right="227"/>
        <w:jc w:val="right"/>
      </w:pPr>
      <w:r>
        <w:rPr>
          <w:b w:val="0"/>
          <w:sz w:val="22"/>
          <w:rtl/>
          <w:rFonts w:ascii="Tahoma" w:hAnsi="Tahoma" w:cs="Tahoma" w:eastAsia="Tahoma"/>
          <w:szCs w:val="22"/>
        </w:rPr>
        <w:t>•  مراجعة ما إذا كان حجم العمل يتطلب الانتقال لقاعدة SQL Server.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