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26"/>
          <w:szCs w:val="26"/>
          <w:u w:val="single"/>
        </w:rPr>
      </w:pPr>
      <w:r w:rsidDel="00000000" w:rsidR="00000000" w:rsidRPr="00000000">
        <w:rPr>
          <w:b w:val="1"/>
          <w:bCs w:val="1"/>
          <w:i w:val="1"/>
          <w:iCs w:val="1"/>
          <w:sz w:val="26"/>
          <w:szCs w:val="26"/>
          <w:u w:val="single"/>
          <w:rtl w:val="0"/>
        </w:rPr>
        <w:t xml:space="preserve">Name: Madubuonu Chisom Anthonia </w:t>
      </w:r>
    </w:p>
    <w:p w:rsidR="00000000" w:rsidDel="00000000" w:rsidP="00000000" w:rsidRDefault="00000000" w:rsidRPr="00000000" w14:paraId="00000002">
      <w:pPr>
        <w:jc w:val="center"/>
        <w:rPr>
          <w:b w:val="1"/>
          <w:bCs w:val="1"/>
          <w:i w:val="1"/>
          <w:iCs w:val="1"/>
          <w:sz w:val="26"/>
          <w:szCs w:val="26"/>
          <w:u w:val="single"/>
        </w:rPr>
      </w:pPr>
      <w:r w:rsidDel="00000000" w:rsidR="00000000" w:rsidRPr="00000000">
        <w:rPr>
          <w:b w:val="1"/>
          <w:bCs w:val="1"/>
          <w:i w:val="1"/>
          <w:iCs w:val="1"/>
          <w:sz w:val="26"/>
          <w:szCs w:val="26"/>
          <w:u w:val="single"/>
          <w:rtl w:val="0"/>
        </w:rPr>
        <w:t xml:space="preserve">Cohort: Cohort 11 </w:t>
      </w:r>
    </w:p>
    <w:p w:rsidR="00000000" w:rsidDel="00000000" w:rsidP="00000000" w:rsidRDefault="00000000" w:rsidRPr="00000000" w14:paraId="00000003">
      <w:pPr>
        <w:jc w:val="center"/>
        <w:rPr>
          <w:b w:val="1"/>
          <w:bCs w:val="1"/>
          <w:sz w:val="24"/>
          <w:szCs w:val="24"/>
          <w:u w:val="single"/>
        </w:rPr>
      </w:pPr>
      <w:r w:rsidDel="00000000" w:rsidR="00000000" w:rsidRPr="00000000">
        <w:rPr>
          <w:b w:val="1"/>
          <w:bCs w:val="1"/>
          <w:i w:val="1"/>
          <w:iCs w:val="1"/>
          <w:sz w:val="26"/>
          <w:szCs w:val="26"/>
          <w:u w:val="single"/>
          <w:rtl w:val="0"/>
        </w:rPr>
        <w:t xml:space="preserve">Reg: C1126CGRCE17235</w:t>
      </w: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INTERNATIONAL CYBERSECURITY AND DIGITAL FORENSICS ACADEMY (ICDFA)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Governance, Compliance, and Risk (GCR)</w:t>
        <w:br w:type="textWrapping"/>
        <w:t xml:space="preserve">Course 1: GRC101 - Introduction to Governance, Risk, and Compliance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1e3a8a"/>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36"/>
          <w:szCs w:val="36"/>
          <w:u w:val="none"/>
          <w:shd w:fill="auto" w:val="clear"/>
          <w:vertAlign w:val="baseline"/>
          <w:rtl w:val="0"/>
        </w:rPr>
        <w:t xml:space="preserve">Week 3 Lab Assignment: Compliance Management and Reporting</w:t>
      </w:r>
    </w:p>
    <w:p w:rsidR="00000000" w:rsidDel="00000000" w:rsidP="00000000" w:rsidRDefault="00000000" w:rsidRPr="00000000" w14:paraId="0000000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Lab Objectives: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lab assignment is designed to help you:</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 compliance management processes and documentation requirements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skills in creating compliance documentation and reports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Apply compliance monitoring and measurement techniques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Gain practical experience in compliance program evaluation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Instructions: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all parts of this lab assignment. Submit your completed document to your instructor by the due date. All answers should be typed directly into this document.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1: Compliance Documentation Development (30 points)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exercise, you will develop key compliance documentation for a fictional organization. Imagine you are the Compliance Officer for TechSecure Solutions, a mid-sized software development company that handles sensitive customer data and is subject to various regulations including GDPR and industry standards like ISO 27001.</w:t>
        <w:br w:type="textWrapping"/>
        <w:br w:type="textWrapping"/>
        <w:t xml:space="preserve">Create the following compliance documentation: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Develop a Compliance Policy Statement (5-7 sentences) that outlines TechSecure Solutions' commitment to regulatory compliance. Include the purpose, scope, key principles, and responsibilities. (10 points)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TechSecure Solutions is committed to conducting its business activities in full compliance with all applicable laws, regulations, and industry standards, including the General Data Protection Regulation (GDPR) and ISO/IEC 27001. The purpose of this policy is to establish a framework that safeguards the confidentiality, integrity, and availability of customer and organizational data while ensuring adherence to regulatory obligations. This policy applies to all employees, contractors, third-party vendors, and business partners who access, process, or store company or customer data on behalf of TechSecure Solutions. The company's key principles include accountability, transparency, data minimization, risk-based decision-making, and continuous improvement of its compliance posture. Executive leadership holds ultimate accountability for compliance oversight, while the Compliance Officer is responsible for day-to-day monitoring, policy development, and regulatory liaison; every employee, however, shares responsibility for upholding compliance standards in their daily work. TechSecure Solutions will provide the resources, training, and reporting channels needed to sustain a culture of compliance and will not tolerate retaliation against individuals who report suspected violations in good faith. Failure to comply with this policy may result in disciplinary action up to and including termination, and the company will cooperate fully with regulators in the event of an investigation.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7"/>
          <w:szCs w:val="27"/>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7"/>
          <w:szCs w:val="27"/>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Create a Compliance Monitoring Plan that includes at least five specific monitoring activities, their frequency, responsible parties, and how results will be documented. Present this in a table format. (10 points)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1C">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The plan below covers six monitoring activities spanning data protection, training, third-party risk, and control effectiveness deliberately exceeding the five required so the plan reads as a real operating cadence rather than a checklist.</w:t>
      </w:r>
    </w:p>
    <w:p w:rsidR="00000000" w:rsidDel="00000000" w:rsidP="00000000" w:rsidRDefault="00000000" w:rsidRPr="00000000" w14:paraId="0000001D">
      <w:pPr>
        <w:spacing w:after="100" w:line="288" w:lineRule="auto"/>
        <w:rPr>
          <w:rFonts w:ascii="Arial" w:cs="Arial" w:eastAsia="Arial" w:hAnsi="Arial"/>
          <w:sz w:val="27"/>
          <w:szCs w:val="27"/>
        </w:rPr>
      </w:pPr>
      <w:r w:rsidDel="00000000" w:rsidR="00000000" w:rsidRPr="00000000">
        <w:rPr>
          <w:rtl w:val="0"/>
        </w:rPr>
      </w:r>
    </w:p>
    <w:sdt>
      <w:sdtPr>
        <w:lock w:val="contentLocked"/>
        <w:id w:val="-92928907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Monitoring</w:t>
                </w:r>
                <w:r w:rsidDel="00000000" w:rsidR="00000000" w:rsidRPr="00000000">
                  <w:rPr>
                    <w:rFonts w:ascii="Arial" w:cs="Arial" w:eastAsia="Arial" w:hAnsi="Arial"/>
                    <w:sz w:val="27"/>
                    <w:szCs w:val="27"/>
                    <w:rtl w:val="0"/>
                  </w:rPr>
                  <w:t xml:space="preserve"> </w:t>
                </w:r>
                <w:r w:rsidDel="00000000" w:rsidR="00000000" w:rsidRPr="00000000">
                  <w:rPr>
                    <w:rFonts w:ascii="Arial" w:cs="Arial" w:eastAsia="Arial" w:hAnsi="Arial"/>
                    <w:b w:val="1"/>
                    <w:bCs w:val="1"/>
                    <w:sz w:val="27"/>
                    <w:szCs w:val="27"/>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Responsible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Documentation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Data access log/ privileged account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IT security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SIEM audit export: findings logged and reviewed in the weekly security stand-up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GDPR Data Subject Access Request (DSAR)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Data Protection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DSAR tracker log: summarised in the monthly complaint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Third party/ vendor compliance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Quarterly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Compliance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Vendor Risks score card stored in the GRC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Employee Compliance training completion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Quarterly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HR and Compliance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LMS completion dashboard exported and archived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ISO 27001 control effectiveness testing (internal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Semi-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Internal Audit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Internal audit report with findings and a Corrective Action Plan (CAP)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Incident/ near miss log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Compliance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Incident register in the GRC tool, summarized for the executive/ board report.</w:t>
                </w:r>
              </w:p>
            </w:tc>
          </w:tr>
        </w:tbl>
      </w:sdtContent>
    </w:sdt>
    <w:p w:rsidR="00000000" w:rsidDel="00000000" w:rsidP="00000000" w:rsidRDefault="00000000" w:rsidRPr="00000000" w14:paraId="0000003A">
      <w:pPr>
        <w:spacing w:after="100" w:line="288"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Design a Compliance Incident Response Procedure that outlines the steps to be taken when a potential compliance violation is identified. Include at least 6 steps with brief descriptions of each. (10 points)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Eight steps are provided to show a complete, closed-loop process from detection through prevention of recurrence.</w:t>
      </w:r>
    </w:p>
    <w:p w:rsidR="00000000" w:rsidDel="00000000" w:rsidP="00000000" w:rsidRDefault="00000000" w:rsidRPr="00000000" w14:paraId="0000003F">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 Detection &amp; Identification — An employee, system alert, or monitoring tool flags a potential compliance violation (e.g., unauthorized data access, a missed regulatory deadline).</w:t>
      </w:r>
    </w:p>
    <w:p w:rsidR="00000000" w:rsidDel="00000000" w:rsidP="00000000" w:rsidRDefault="00000000" w:rsidRPr="00000000" w14:paraId="00000040">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2. Initial Reporting — The individual who discovers the issue reports it to the Compliance Officer within 24 hours via the confidential compliance hotline or email; anonymous reporting is permitted.</w:t>
      </w:r>
    </w:p>
    <w:p w:rsidR="00000000" w:rsidDel="00000000" w:rsidP="00000000" w:rsidRDefault="00000000" w:rsidRPr="00000000" w14:paraId="00000041">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3. Triage &amp; Classification — The Compliance Officer assesses severity (Low/Medium/High/Critical) based on regulatory exposure, data sensitivity, and potential harm, and decides whether Legal or executive leadership must be looped in immediately.</w:t>
      </w:r>
    </w:p>
    <w:p w:rsidR="00000000" w:rsidDel="00000000" w:rsidP="00000000" w:rsidRDefault="00000000" w:rsidRPr="00000000" w14:paraId="00000042">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4. Investigation — A designated team (Compliance, Legal, IT Security as needed) gathers evidence, interviews relevant staff, and determines root cause and full scope of the issue.</w:t>
      </w:r>
    </w:p>
    <w:p w:rsidR="00000000" w:rsidDel="00000000" w:rsidP="00000000" w:rsidRDefault="00000000" w:rsidRPr="00000000" w14:paraId="00000043">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5. Containment &amp; Remediation — Immediate action is taken to stop the ongoing violation (e.g., revoking access, isolating a system), followed by remediation of the underlying cause.</w:t>
      </w:r>
    </w:p>
    <w:p w:rsidR="00000000" w:rsidDel="00000000" w:rsidP="00000000" w:rsidRDefault="00000000" w:rsidRPr="00000000" w14:paraId="00000044">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6. Regulatory Notification (if applicable) — Where a legal threshold is met (e.g., GDPR's 72-hour breach notification rule), the Compliance Officer/DPO notifies the relevant supervisory authority and affected individuals within the required window.</w:t>
      </w:r>
    </w:p>
    <w:p w:rsidR="00000000" w:rsidDel="00000000" w:rsidP="00000000" w:rsidRDefault="00000000" w:rsidRPr="00000000" w14:paraId="00000045">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7. Documentation &amp; Reporting — A full incident report is prepared, covering timeline, root cause, actions taken, and lessons learned, and is submitted to the executive team and, where material, the board.</w:t>
      </w:r>
    </w:p>
    <w:p w:rsidR="00000000" w:rsidDel="00000000" w:rsidP="00000000" w:rsidRDefault="00000000" w:rsidRPr="00000000" w14:paraId="00000046">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8. Corrective Action &amp; Follow-Up — Systemic fixes are implemented (policy updates, added controls, targeted training), and the issue is monitored for recurrence over a defined follow-up period before the case is formally closed.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2: Compliance Metrics and KPIs (25 points)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compliance management requires measuring and reporting on key metrics. For this exercise, you will develop a set of compliance metrics and KPIs for TechSecure Solutions.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Identify and describe five key compliance metrics or KPIs that TechSecure Solutions should track. For each metric, explain what it measures, why it's important, how it should be calculated, and what the target or benchmark should be. (15 points)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4D">
      <w:pPr>
        <w:numPr>
          <w:ilvl w:val="0"/>
          <w:numId w:val="2"/>
        </w:numPr>
        <w:spacing w:after="100" w:before="180" w:line="288" w:lineRule="auto"/>
        <w:ind w:left="720" w:hanging="360"/>
        <w:rPr>
          <w:rFonts w:ascii="Arial" w:cs="Arial" w:eastAsia="Arial" w:hAnsi="Arial"/>
          <w:b w:val="1"/>
          <w:bCs w:val="1"/>
          <w:color w:val="2e74b5"/>
          <w:sz w:val="30"/>
          <w:szCs w:val="30"/>
        </w:rPr>
      </w:pPr>
      <w:r w:rsidDel="00000000" w:rsidR="00000000" w:rsidRPr="00000000">
        <w:rPr>
          <w:rFonts w:ascii="Arial" w:cs="Arial" w:eastAsia="Arial" w:hAnsi="Arial"/>
          <w:color w:val="2e74b5"/>
          <w:sz w:val="30"/>
          <w:szCs w:val="30"/>
          <w:rtl w:val="0"/>
        </w:rPr>
        <w:t xml:space="preserve">Five Key Compliance Metrics / KPIs</w:t>
      </w:r>
      <w:r w:rsidDel="00000000" w:rsidR="00000000" w:rsidRPr="00000000">
        <w:rPr>
          <w:rtl w:val="0"/>
        </w:rPr>
      </w:r>
    </w:p>
    <w:p w:rsidR="00000000" w:rsidDel="00000000" w:rsidP="00000000" w:rsidRDefault="00000000" w:rsidRPr="00000000" w14:paraId="0000004E">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1. Training Completion Rate</w:t>
      </w:r>
    </w:p>
    <w:p w:rsidR="00000000" w:rsidDel="00000000" w:rsidP="00000000" w:rsidRDefault="00000000" w:rsidRPr="00000000" w14:paraId="0000004F">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What it measures: Percentage of employees who complete mandatory compliance training by the assigned deadline.</w:t>
      </w:r>
    </w:p>
    <w:p w:rsidR="00000000" w:rsidDel="00000000" w:rsidP="00000000" w:rsidRDefault="00000000" w:rsidRPr="00000000" w14:paraId="00000050">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Why it's important: A leading indicator gaps in training correlate directly with future policy violations and show up before an incident does.</w:t>
      </w:r>
    </w:p>
    <w:p w:rsidR="00000000" w:rsidDel="00000000" w:rsidP="00000000" w:rsidRDefault="00000000" w:rsidRPr="00000000" w14:paraId="00000051">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How it's calculated: (Employees who completed training on time divided by total employees required to complete) times 100.</w:t>
      </w:r>
    </w:p>
    <w:p w:rsidR="00000000" w:rsidDel="00000000" w:rsidP="00000000" w:rsidRDefault="00000000" w:rsidRPr="00000000" w14:paraId="00000052">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Target/benchmark: 100% within 30 days of assignment; anything under 95% triggers escalation to department managers.</w:t>
      </w:r>
    </w:p>
    <w:p w:rsidR="00000000" w:rsidDel="00000000" w:rsidP="00000000" w:rsidRDefault="00000000" w:rsidRPr="00000000" w14:paraId="00000053">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2. Policy Exception Rate</w:t>
      </w:r>
    </w:p>
    <w:p w:rsidR="00000000" w:rsidDel="00000000" w:rsidP="00000000" w:rsidRDefault="00000000" w:rsidRPr="00000000" w14:paraId="00000054">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What it measures: The number of approved exceptions or deviations granted from compliance policy per quarter.</w:t>
      </w:r>
    </w:p>
    <w:p w:rsidR="00000000" w:rsidDel="00000000" w:rsidP="00000000" w:rsidRDefault="00000000" w:rsidRPr="00000000" w14:paraId="00000055">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Why it's important: A rising rate signals either that a policy is unrealistic for the business or that enforcement is weakening, both are early warnings.</w:t>
      </w:r>
    </w:p>
    <w:p w:rsidR="00000000" w:rsidDel="00000000" w:rsidP="00000000" w:rsidRDefault="00000000" w:rsidRPr="00000000" w14:paraId="00000056">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How it's calculated: Approved exceptions divides total applicable policy instances in the period.</w:t>
      </w:r>
    </w:p>
    <w:p w:rsidR="00000000" w:rsidDel="00000000" w:rsidP="00000000" w:rsidRDefault="00000000" w:rsidRPr="00000000" w14:paraId="00000057">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Target/benchmark: Under 5% of instances, with a declining trend quarter over quarter.</w:t>
      </w:r>
    </w:p>
    <w:p w:rsidR="00000000" w:rsidDel="00000000" w:rsidP="00000000" w:rsidRDefault="00000000" w:rsidRPr="00000000" w14:paraId="00000058">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3. Mean Time to Remediate Audit Findings (MTTR)</w:t>
      </w:r>
    </w:p>
    <w:p w:rsidR="00000000" w:rsidDel="00000000" w:rsidP="00000000" w:rsidRDefault="00000000" w:rsidRPr="00000000" w14:paraId="00000059">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What it measures: Average number of days between an audit finding being logged and its verified closure.</w:t>
      </w:r>
    </w:p>
    <w:p w:rsidR="00000000" w:rsidDel="00000000" w:rsidP="00000000" w:rsidRDefault="00000000" w:rsidRPr="00000000" w14:paraId="0000005A">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Why it's important: Shows whether the organization actually acts on what it finds, not just whether it finds problems.</w:t>
      </w:r>
    </w:p>
    <w:p w:rsidR="00000000" w:rsidDel="00000000" w:rsidP="00000000" w:rsidRDefault="00000000" w:rsidRPr="00000000" w14:paraId="0000005B">
      <w:pPr>
        <w:spacing w:after="60" w:line="288" w:lineRule="auto"/>
        <w:ind w:left="540" w:hanging="200"/>
        <w:rPr>
          <w:rFonts w:ascii="Arial" w:cs="Arial" w:eastAsia="Arial" w:hAnsi="Arial"/>
          <w:sz w:val="27"/>
          <w:szCs w:val="27"/>
        </w:rPr>
      </w:pPr>
      <w:sdt>
        <w:sdtPr>
          <w:id w:val="-203567097"/>
          <w:tag w:val="goog_rdk_1"/>
        </w:sdtPr>
        <w:sdtContent>
          <w:r w:rsidDel="00000000" w:rsidR="00000000" w:rsidRPr="00000000">
            <w:rPr>
              <w:rFonts w:ascii="Arial Unicode MS" w:cs="Arial Unicode MS" w:eastAsia="Arial Unicode MS" w:hAnsi="Arial Unicode MS"/>
              <w:sz w:val="27"/>
              <w:szCs w:val="27"/>
              <w:rtl w:val="0"/>
            </w:rPr>
            <w:t xml:space="preserve">• How it's calculated: Sum of (remediation date − finding date) across all findings divided by number of findings, typically segmented by severity.</w:t>
          </w:r>
        </w:sdtContent>
      </w:sdt>
    </w:p>
    <w:p w:rsidR="00000000" w:rsidDel="00000000" w:rsidP="00000000" w:rsidRDefault="00000000" w:rsidRPr="00000000" w14:paraId="0000005C">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Target/benchmark: Critical/High findings closed within 30 days; Medium within 60; Low within 90.</w:t>
      </w:r>
    </w:p>
    <w:p w:rsidR="00000000" w:rsidDel="00000000" w:rsidP="00000000" w:rsidRDefault="00000000" w:rsidRPr="00000000" w14:paraId="0000005D">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4. Number and Severity of Compliance Incidents</w:t>
      </w:r>
    </w:p>
    <w:p w:rsidR="00000000" w:rsidDel="00000000" w:rsidP="00000000" w:rsidRDefault="00000000" w:rsidRPr="00000000" w14:paraId="0000005E">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What it measures: Total confirmed compliance incidents (data breaches, policy violations, regulatory breaches) per period, segmented by severity.</w:t>
      </w:r>
    </w:p>
    <w:p w:rsidR="00000000" w:rsidDel="00000000" w:rsidP="00000000" w:rsidRDefault="00000000" w:rsidRPr="00000000" w14:paraId="0000005F">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Why it's important: The most direct outcome measure of whether the compliance program is actually reducing risk.</w:t>
      </w:r>
    </w:p>
    <w:p w:rsidR="00000000" w:rsidDel="00000000" w:rsidP="00000000" w:rsidRDefault="00000000" w:rsidRPr="00000000" w14:paraId="00000060">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How it's calculated: Raw count per quarter, trended year-over-year, weighted or segmented by severity tier.</w:t>
      </w:r>
    </w:p>
    <w:p w:rsidR="00000000" w:rsidDel="00000000" w:rsidP="00000000" w:rsidRDefault="00000000" w:rsidRPr="00000000" w14:paraId="00000061">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Target/benchmark: Year-over-year reduction; zero unresolved Critical/High incidents at any given time.</w:t>
      </w:r>
    </w:p>
    <w:p w:rsidR="00000000" w:rsidDel="00000000" w:rsidP="00000000" w:rsidRDefault="00000000" w:rsidRPr="00000000" w14:paraId="00000062">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5. Third-Party / Vendor Compliance Score</w:t>
      </w:r>
    </w:p>
    <w:p w:rsidR="00000000" w:rsidDel="00000000" w:rsidP="00000000" w:rsidRDefault="00000000" w:rsidRPr="00000000" w14:paraId="00000063">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What it measures: Average risk/compliance score across all assessed vendors and partners who handle company or customer data.</w:t>
      </w:r>
    </w:p>
    <w:p w:rsidR="00000000" w:rsidDel="00000000" w:rsidP="00000000" w:rsidRDefault="00000000" w:rsidRPr="00000000" w14:paraId="00000064">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Why it's important: Under GDPR and ISO 27001, the organization remains accountable for how its vendors handle data, this is a control the company doesn't directly operate but is still liable for.</w:t>
      </w:r>
    </w:p>
    <w:p w:rsidR="00000000" w:rsidDel="00000000" w:rsidP="00000000" w:rsidRDefault="00000000" w:rsidRPr="00000000" w14:paraId="00000065">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How it's calculated: Average of individual vendor scores (e.g., on a 0–100 risk-assessment scale) across all vendors assessed in the period.</w:t>
      </w:r>
    </w:p>
    <w:p w:rsidR="00000000" w:rsidDel="00000000" w:rsidP="00000000" w:rsidRDefault="00000000" w:rsidRPr="00000000" w14:paraId="00000066">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Target/benchmark: Average score above 80/100; 100% of vendors classified as "critical" reassessed at least annually.</w:t>
      </w:r>
    </w:p>
    <w:p w:rsidR="00000000" w:rsidDel="00000000" w:rsidP="00000000" w:rsidRDefault="00000000" w:rsidRPr="00000000" w14:paraId="00000067">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Design a mock-up of a quarterly compliance dashboard that would be presented to the executive team. Describe what information would be included, how it would be visualized, and why this information is valuable for executive decision-making. (10 points)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6E">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The dashboard is a single-page executive view, organized top-to-bottom from "status at a glance" to "supporting detail," so a time-pressed executive gets the headline in five seconds and can drill down only if something looks wrong.</w:t>
      </w:r>
    </w:p>
    <w:p w:rsidR="00000000" w:rsidDel="00000000" w:rsidP="00000000" w:rsidRDefault="00000000" w:rsidRPr="00000000" w14:paraId="0000006F">
      <w:pPr>
        <w:spacing w:after="80" w:before="160" w:line="288" w:lineRule="auto"/>
        <w:rPr>
          <w:rFonts w:ascii="Arial" w:cs="Arial" w:eastAsia="Arial" w:hAnsi="Arial"/>
          <w:color w:val="1f4d78"/>
          <w:sz w:val="27"/>
          <w:szCs w:val="27"/>
        </w:rPr>
      </w:pPr>
      <w:r w:rsidDel="00000000" w:rsidR="00000000" w:rsidRPr="00000000">
        <w:rPr>
          <w:rFonts w:ascii="Arial" w:cs="Arial" w:eastAsia="Arial" w:hAnsi="Arial"/>
          <w:color w:val="1f4d78"/>
          <w:sz w:val="27"/>
          <w:szCs w:val="27"/>
          <w:rtl w:val="0"/>
        </w:rPr>
        <w:t xml:space="preserve">Layout and content</w:t>
      </w:r>
    </w:p>
    <w:p w:rsidR="00000000" w:rsidDel="00000000" w:rsidP="00000000" w:rsidRDefault="00000000" w:rsidRPr="00000000" w14:paraId="00000070">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Top band — RAG (Red/Amber/Green) scorecard: one tile per KPI from section 1 above, colored by status against target, each with a small up/down trend arrow versus last quarter.</w:t>
      </w:r>
    </w:p>
    <w:p w:rsidR="00000000" w:rsidDel="00000000" w:rsidP="00000000" w:rsidRDefault="00000000" w:rsidRPr="00000000" w14:paraId="00000071">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Top-left — Training completion gauge chart: a speedometer-style gauge showing current completion % against the 100% target.</w:t>
      </w:r>
    </w:p>
    <w:p w:rsidR="00000000" w:rsidDel="00000000" w:rsidP="00000000" w:rsidRDefault="00000000" w:rsidRPr="00000000" w14:paraId="00000072">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Top-right — Incident trend line chart: incidents per month over the trailing 12 months, segmented by severity (stacked area), to show whether the program is trending better or worse.</w:t>
      </w:r>
    </w:p>
    <w:p w:rsidR="00000000" w:rsidDel="00000000" w:rsidP="00000000" w:rsidRDefault="00000000" w:rsidRPr="00000000" w14:paraId="00000073">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Middle — Audit finding aging bar chart: open findings bucketed into 0–30, 31–60, 61–90, 90+ days, so aging (overdue) findings are visually obvious.</w:t>
      </w:r>
    </w:p>
    <w:p w:rsidR="00000000" w:rsidDel="00000000" w:rsidP="00000000" w:rsidRDefault="00000000" w:rsidRPr="00000000" w14:paraId="00000074">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Bottom-left — Top 5 vendor risk table: vendor name, risk score, last assessment date, flagged issues.</w:t>
      </w:r>
    </w:p>
    <w:p w:rsidR="00000000" w:rsidDel="00000000" w:rsidP="00000000" w:rsidRDefault="00000000" w:rsidRPr="00000000" w14:paraId="00000075">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 Bottom-right — Regulatory change tracker: a short list of new/upcoming regulatory changes relevant to the business, with an owner and target compliance date for each.</w:t>
      </w:r>
    </w:p>
    <w:p w:rsidR="00000000" w:rsidDel="00000000" w:rsidP="00000000" w:rsidRDefault="00000000" w:rsidRPr="00000000" w14:paraId="00000076">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b w:val="1"/>
          <w:bCs w:val="1"/>
          <w:color w:val="1f4d78"/>
          <w:sz w:val="27"/>
          <w:szCs w:val="27"/>
          <w:u w:val="single"/>
          <w:rtl w:val="0"/>
        </w:rPr>
        <w:t xml:space="preserve">Why this is valuable for executive decision-making</w:t>
      </w:r>
    </w:p>
    <w:p w:rsidR="00000000" w:rsidDel="00000000" w:rsidP="00000000" w:rsidRDefault="00000000" w:rsidRPr="00000000" w14:paraId="00000077">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Executives are not compliance specialists and typically have only a few minutes to review this material before a board meeting. Color-coded status and trend arrows let them immediately identify where the program needs resources or attention without reading narrative text. The finding-aging chart in particular converts an abstract obligation ("close audit findings") into a visible accountability signal, an executive can ask "why is anything sitting in the 90+ bucket" in the meeting itself. The regulatory change tracker turns compliance from a backward-looking report into a forward-looking risk radar, which is exactly the gap that caused the incident in the Part 4 case study below.</w:t>
      </w:r>
    </w:p>
    <w:p w:rsidR="00000000" w:rsidDel="00000000" w:rsidP="00000000" w:rsidRDefault="00000000" w:rsidRPr="00000000" w14:paraId="00000078">
      <w:pP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3: Compliance Audit Preparation (25 points)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TechSecure Solutions is preparing for an ISO 27001 certification audit in three months. As the Compliance Officer, you need to prepare the organization for this important audit.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Create a pre-audit checklist with at least 10 specific items that should be reviewed or prepared before the ISO 27001 audit. For each item, briefly explain its importance to the audit process. (15 points)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7F">
      <w:pPr>
        <w:spacing w:after="100" w:before="180" w:line="288"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 ISO 27001 Pre-Audit Checklist (15 points)</w:t>
      </w:r>
    </w:p>
    <w:p w:rsidR="00000000" w:rsidDel="00000000" w:rsidP="00000000" w:rsidRDefault="00000000" w:rsidRPr="00000000" w14:paraId="00000080">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Twelve items are included (minimum required: ten) because a realistic pre-audit checklist for a certification audit, as opposed to a surveillance audit, needs to cover documentation, risk management, and organizational readiness together.</w:t>
      </w:r>
    </w:p>
    <w:p w:rsidR="00000000" w:rsidDel="00000000" w:rsidP="00000000" w:rsidRDefault="00000000" w:rsidRPr="00000000" w14:paraId="00000081">
      <w:pPr>
        <w:spacing w:after="100" w:line="288" w:lineRule="auto"/>
        <w:rPr>
          <w:rFonts w:ascii="Arial" w:cs="Arial" w:eastAsia="Arial" w:hAnsi="Arial"/>
          <w:color w:val="2e74b5"/>
          <w:sz w:val="30"/>
          <w:szCs w:val="30"/>
        </w:rPr>
      </w:pPr>
      <w:r w:rsidDel="00000000" w:rsidR="00000000" w:rsidRPr="00000000">
        <w:rPr>
          <w:rtl w:val="0"/>
        </w:rPr>
      </w:r>
    </w:p>
    <w:p w:rsidR="00000000" w:rsidDel="00000000" w:rsidP="00000000" w:rsidRDefault="00000000" w:rsidRPr="00000000" w14:paraId="00000082">
      <w:pPr>
        <w:spacing w:after="100" w:line="288"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2. Employee Communication Plan for the Upcoming Audit (10 points)</w:t>
      </w:r>
    </w:p>
    <w:p w:rsidR="00000000" w:rsidDel="00000000" w:rsidP="00000000" w:rsidRDefault="00000000" w:rsidRPr="00000000" w14:paraId="00000083">
      <w:pPr>
        <w:spacing w:after="100" w:before="180" w:line="288" w:lineRule="auto"/>
        <w:rPr>
          <w:rFonts w:ascii="Arial" w:cs="Arial" w:eastAsia="Arial" w:hAnsi="Arial"/>
          <w:color w:val="2e74b5"/>
          <w:sz w:val="30"/>
          <w:szCs w:val="30"/>
        </w:rPr>
      </w:pPr>
      <w:r w:rsidDel="00000000" w:rsidR="00000000" w:rsidRPr="00000000">
        <w:rPr>
          <w:rFonts w:ascii="Arial" w:cs="Arial" w:eastAsia="Arial" w:hAnsi="Arial"/>
          <w:color w:val="2e74b5"/>
          <w:sz w:val="30"/>
          <w:szCs w:val="30"/>
          <w:rtl w:val="0"/>
        </w:rPr>
        <w:t xml:space="preserve">1. ISO 27001 Pre-Audit Checklist (15 points)</w:t>
      </w:r>
    </w:p>
    <w:p w:rsidR="00000000" w:rsidDel="00000000" w:rsidP="00000000" w:rsidRDefault="00000000" w:rsidRPr="00000000" w14:paraId="00000084">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Twelve items are included (minimum required: ten) because a realistic pre-audit checklist for a certification audit, as opposed to a surveillance audit, needs to cover documentation, risk management, and organizational readiness together.</w:t>
      </w:r>
    </w:p>
    <w:p w:rsidR="00000000" w:rsidDel="00000000" w:rsidP="00000000" w:rsidRDefault="00000000" w:rsidRPr="00000000" w14:paraId="00000085">
      <w:pPr>
        <w:spacing w:after="100" w:line="288" w:lineRule="auto"/>
        <w:rPr>
          <w:rFonts w:ascii="Arial" w:cs="Arial" w:eastAsia="Arial" w:hAnsi="Arial"/>
          <w:sz w:val="27"/>
          <w:szCs w:val="27"/>
        </w:rPr>
      </w:pPr>
      <w:r w:rsidDel="00000000" w:rsidR="00000000" w:rsidRPr="00000000">
        <w:rPr>
          <w:rtl w:val="0"/>
        </w:rPr>
      </w:r>
    </w:p>
    <w:sdt>
      <w:sdtPr>
        <w:lock w:val="contentLocked"/>
        <w:id w:val="-1258985498"/>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Checklist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Why it matters to the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Review and update the information security policy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Auditors check clause 5.2 first; outdated policies signal a stale ISMS before anything else is even reviewed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Confirm the Statement of Applicability is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The SoA maps which annex A controls applies and justifies exclusions, it's the masters document auditors use to scope their sampling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Verify the risk assessment and risk treatment plan are up 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ISO 27001  is fundamentally risk-based, an outdated risk register is one of the most common nonconformities cited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Conduct and document an internal ISMS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Clauss 9.2 requires this, it proves the organization tests itself before an external body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Hold and minute a management review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Clause 9.3 requires top management to formally review ISMS performance. Auditors asks for these minutes as standard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Confirm Prior corrective actions are closed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Open Items carried over from thrclast audit cycle are treated as a repeat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update the assets inventory and data classification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Annex A.5. 9-5. 14; auditors sample specific items to test whether control are actually implemented not just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Test the incident response and business continuity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Annex A.5 24-5.30; auditors typically ask for evidence of a recent tabletop exercise or simulated drill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Complete a user access recertification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 Annex A.5.15-5.18: access control is one of the most heavily sampled control families in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Verify security awareness training records are complete and retrievable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Annex A.6.3: auditors sample employee records as evidence of competence,  not just a training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Centralize documented evidence in one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Auditors move faster and form a favourable impression when evidence is organized and retrieveable on spot, versus scattered across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Run a Mock/ gap audit with a qualified internal or external 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Surfaces remaining gaps while there is still time to remediate them before the real, consequential audit</w:t>
                </w:r>
              </w:p>
            </w:tc>
          </w:tr>
        </w:tbl>
      </w:sdtContent>
    </w:sdt>
    <w:p w:rsidR="00000000" w:rsidDel="00000000" w:rsidP="00000000" w:rsidRDefault="00000000" w:rsidRPr="00000000" w14:paraId="000000A0">
      <w:pPr>
        <w:spacing w:after="100" w:line="288"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A1">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Develop a communication plan for preparing employees for the upcoming audit. Include at least three different communication methods, the key messages for each, target audience, and timing. (10 points)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A6">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Four communication methods are outlined (minimum required: three) so different audiences,  general staff, control owners, and leadership, each get a message calibrated to what they actually need to do.</w:t>
      </w:r>
    </w:p>
    <w:p w:rsidR="00000000" w:rsidDel="00000000" w:rsidP="00000000" w:rsidRDefault="00000000" w:rsidRPr="00000000" w14:paraId="000000A7">
      <w:pPr>
        <w:spacing w:after="100" w:line="288" w:lineRule="auto"/>
        <w:rPr>
          <w:rFonts w:ascii="Arial" w:cs="Arial" w:eastAsia="Arial" w:hAnsi="Arial"/>
          <w:sz w:val="27"/>
          <w:szCs w:val="27"/>
        </w:rPr>
      </w:pPr>
      <w:r w:rsidDel="00000000" w:rsidR="00000000" w:rsidRPr="00000000">
        <w:rPr>
          <w:rtl w:val="0"/>
        </w:rPr>
      </w:r>
    </w:p>
    <w:sdt>
      <w:sdtPr>
        <w:lock w:val="contentLocked"/>
        <w:id w:val="-337766760"/>
        <w:tag w:val="goog_rdk_3"/>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Key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All staff's e-mail news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All Employees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Audit dates and purpose. What to expect if approached by an auditor, importance of cooperation, who to contact with 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Initial announcement 8 weeks before: reminders at 2 weeks: final reminder the day 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Department bridging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Managers and staffs in a department likely to be sampled (IT, HR, Customer Support,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Control specific to their functions, likely interview questions, evidence they may be asked to produce on the 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4 weeks before with a short refresher 3-5 days 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Compliance portal FAQ page with countdown banner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All employees (self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Audit scope in plain language, “what auditors may ask you” quick guide, ISO 27001 basics refresher; escalation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Published 6 weeks before, updated weekly, stays live through audit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Executive committee briefings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C-suite and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Readiness status against the pre audit checklist, open risks, resource or budget needs before the audit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7"/>
                    <w:szCs w:val="27"/>
                  </w:rPr>
                </w:pPr>
                <w:r w:rsidDel="00000000" w:rsidR="00000000" w:rsidRPr="00000000">
                  <w:rPr>
                    <w:rFonts w:ascii="Arial" w:cs="Arial" w:eastAsia="Arial" w:hAnsi="Arial"/>
                    <w:sz w:val="27"/>
                    <w:szCs w:val="27"/>
                    <w:rtl w:val="0"/>
                  </w:rPr>
                  <w:t xml:space="preserve">Bi- weekly starting 3 months out: weekly in the final 2-weeks</w:t>
                </w:r>
              </w:p>
            </w:tc>
          </w:tr>
        </w:tbl>
      </w:sdtContent>
    </w:sdt>
    <w:p w:rsidR="00000000" w:rsidDel="00000000" w:rsidP="00000000" w:rsidRDefault="00000000" w:rsidRPr="00000000" w14:paraId="000000BC">
      <w:pPr>
        <w:spacing w:after="100" w:line="288" w:lineRule="auto"/>
        <w:rPr>
          <w:rFonts w:ascii="Arial" w:cs="Arial" w:eastAsia="Arial" w:hAnsi="Arial"/>
          <w:sz w:val="27"/>
          <w:szCs w:val="27"/>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d9488"/>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9488"/>
          <w:sz w:val="28"/>
          <w:szCs w:val="28"/>
          <w:u w:val="none"/>
          <w:shd w:fill="auto" w:val="clear"/>
          <w:vertAlign w:val="baseline"/>
          <w:rtl w:val="0"/>
        </w:rPr>
        <w:t xml:space="preserve">Part 4: Compliance Program Evaluation (20 points)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Study: FinTech Innovations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t xml:space="preserve">FinTech Innovations is a financial technology company that has been in operation for five years. They provide payment processing services and financial management software to small and medium-sized businesses. The company has grown rapidly from 20 to 150 employees and now serves clients in multiple countries.</w:t>
        <w:br w:type="textWrapping"/>
        <w:br w:type="textWrapping"/>
        <w:t xml:space="preserve">The company established a compliance program three years ago when they reached 50 employees. The program consists of:</w:t>
        <w:br w:type="textWrapping"/>
        <w:br w:type="textWrapping"/>
        <w:t xml:space="preserve">• A part-time Compliance Officer (who also serves as the Legal Counsel)</w:t>
        <w:br w:type="textWrapping"/>
        <w:t xml:space="preserve">• A set of compliance policies that were developed when the program was established</w:t>
        <w:br w:type="textWrapping"/>
        <w:t xml:space="preserve">• Annual compliance training for all employees</w:t>
        <w:br w:type="textWrapping"/>
        <w:t xml:space="preserve">• Quarterly compliance reports to the executive team</w:t>
        <w:br w:type="textWrapping"/>
        <w:t xml:space="preserve">• Ad-hoc compliance monitoring activities</w:t>
        <w:br w:type="textWrapping"/>
        <w:br w:type="textWrapping"/>
        <w:t xml:space="preserve">Recently, the company experienced a compliance incident where they failed to update their privacy policies to reflect new regulatory requirements in one of their operating regions. This resulted in a small fine and negative publicity. The CEO has asked for an evaluation of the current compliance program to identify areas for improvement.</w:t>
        <w:br w:type="textWrapping"/>
        <w:br w:type="textWrapping"/>
        <w:t xml:space="preserve">Based on this case study, answer the following questions:</w:t>
        <w:br w:type="textWrapping"/>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Evaluate FinTech Innovations' current compliance program using the seven elements of an effective compliance program as a framework. Identify at least three strengths and three weaknesses of their current approach. (10 points)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Recommend five specific improvements to strengthen FinTech Innovations' compliance program. For each recommendation, explain the rationale and expected benefits. (10 points)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Answer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Case Study: FinTech Innovations</w:t>
      </w:r>
    </w:p>
    <w:p w:rsidR="00000000" w:rsidDel="00000000" w:rsidP="00000000" w:rsidRDefault="00000000" w:rsidRPr="00000000" w14:paraId="000000C4">
      <w:pPr>
        <w:spacing w:after="100" w:before="180" w:line="288" w:lineRule="auto"/>
        <w:rPr>
          <w:rFonts w:ascii="Arial" w:cs="Arial" w:eastAsia="Arial" w:hAnsi="Arial"/>
          <w:b w:val="1"/>
          <w:bCs w:val="1"/>
          <w:color w:val="2e74b5"/>
          <w:sz w:val="30"/>
          <w:szCs w:val="30"/>
          <w:u w:val="single"/>
        </w:rPr>
      </w:pPr>
      <w:r w:rsidDel="00000000" w:rsidR="00000000" w:rsidRPr="00000000">
        <w:rPr>
          <w:rFonts w:ascii="Arial" w:cs="Arial" w:eastAsia="Arial" w:hAnsi="Arial"/>
          <w:b w:val="1"/>
          <w:bCs w:val="1"/>
          <w:color w:val="2e74b5"/>
          <w:sz w:val="30"/>
          <w:szCs w:val="30"/>
          <w:u w:val="single"/>
          <w:rtl w:val="0"/>
        </w:rPr>
        <w:t xml:space="preserve">1. Evaluation Using the Seven Elements of an Effective Compliance Program</w:t>
      </w:r>
    </w:p>
    <w:p w:rsidR="00000000" w:rsidDel="00000000" w:rsidP="00000000" w:rsidRDefault="00000000" w:rsidRPr="00000000" w14:paraId="000000C5">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This evaluation uses the widely-referenced seven elements of an effective compliance program (from the U.S. Federal Sentencing Guidelines / OIG compliance program guidance, and mirrored in OCEG's GRC Capability Model): (1) written policies and standards, (2) compliance leadership/structure, (3) training and education, (4) effective lines of communication, (5) internal monitoring and auditing, (6) enforcement and discipline, and (7) prompt response and corrective action.</w:t>
      </w:r>
    </w:p>
    <w:p w:rsidR="00000000" w:rsidDel="00000000" w:rsidP="00000000" w:rsidRDefault="00000000" w:rsidRPr="00000000" w14:paraId="000000C6">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b w:val="1"/>
          <w:bCs w:val="1"/>
          <w:color w:val="1f4d78"/>
          <w:sz w:val="27"/>
          <w:szCs w:val="27"/>
          <w:u w:val="single"/>
          <w:rtl w:val="0"/>
        </w:rPr>
        <w:t xml:space="preserve">Strengths (3)</w:t>
      </w:r>
    </w:p>
    <w:p w:rsidR="00000000" w:rsidDel="00000000" w:rsidP="00000000" w:rsidRDefault="00000000" w:rsidRPr="00000000" w14:paraId="000000C7">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9. Designated compliance ownership exists (Element 2). Even though the role is part-time and dual-hatted, FinTech Innovations has a named individual accountable for compliance with legal expertise embedded,this is a real foundation many growing companies lack entirely.</w:t>
      </w:r>
    </w:p>
    <w:p w:rsidR="00000000" w:rsidDel="00000000" w:rsidP="00000000" w:rsidRDefault="00000000" w:rsidRPr="00000000" w14:paraId="000000C8">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10. A baseline training program is in place (Element 3). Annual compliance training for all employees satisfies the minimum expectation for this element and shows some institutional commitment to awareness, even if the cadence and content may now be outdated.</w:t>
      </w:r>
    </w:p>
    <w:p w:rsidR="00000000" w:rsidDel="00000000" w:rsidP="00000000" w:rsidRDefault="00000000" w:rsidRPr="00000000" w14:paraId="000000C9">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11. A reporting cadence to leadership exists (Elements 4/5). Quarterly compliance reports give executives at least some regular visibility into the program, which is a stronger starting point than an ad-hoc or reactive-only structure.</w:t>
      </w:r>
    </w:p>
    <w:p w:rsidR="00000000" w:rsidDel="00000000" w:rsidP="00000000" w:rsidRDefault="00000000" w:rsidRPr="00000000" w14:paraId="000000CA">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b w:val="1"/>
          <w:bCs w:val="1"/>
          <w:color w:val="1f4d78"/>
          <w:sz w:val="27"/>
          <w:szCs w:val="27"/>
          <w:u w:val="single"/>
          <w:rtl w:val="0"/>
        </w:rPr>
        <w:t xml:space="preserve">Weaknesses (3)</w:t>
      </w:r>
    </w:p>
    <w:p w:rsidR="00000000" w:rsidDel="00000000" w:rsidP="00000000" w:rsidRDefault="00000000" w:rsidRPr="00000000" w14:paraId="000000CB">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12. Policies are frozen at the company's earlier size and have not kept pace with growth (Element 1). The policies were written three years ago when the company had 50 employees operating presumably in fewer jurisdictions; the company has since tripled in size and now operates in multiple countries, yet the policies were never revised. This is the direct root cause of the incident described, failure to update privacy policies for a new operating region's regulatory requirements.</w:t>
      </w:r>
    </w:p>
    <w:p w:rsidR="00000000" w:rsidDel="00000000" w:rsidP="00000000" w:rsidRDefault="00000000" w:rsidRPr="00000000" w14:paraId="000000CC">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13. The compliance function lacks independence and sufficient capacity (Element 2). A part-time Compliance Officer who is simultaneously Legal Counsel creates a structural conflict of interest (legal privilege and risk-avoidance incentives can pull against compliance transparency and disclosure), and part-time bandwidth is very unlikely to be sufficient for a 150-employee, multi-country fintech handling payment data, a genuinely high-risk sector.</w:t>
      </w:r>
    </w:p>
    <w:p w:rsidR="00000000" w:rsidDel="00000000" w:rsidP="00000000" w:rsidRDefault="00000000" w:rsidRPr="00000000" w14:paraId="000000CD">
      <w:pPr>
        <w:spacing w:after="60" w:line="288" w:lineRule="auto"/>
        <w:ind w:left="540" w:hanging="200"/>
        <w:rPr>
          <w:rFonts w:ascii="Arial" w:cs="Arial" w:eastAsia="Arial" w:hAnsi="Arial"/>
          <w:sz w:val="27"/>
          <w:szCs w:val="27"/>
        </w:rPr>
      </w:pPr>
      <w:r w:rsidDel="00000000" w:rsidR="00000000" w:rsidRPr="00000000">
        <w:rPr>
          <w:rFonts w:ascii="Arial" w:cs="Arial" w:eastAsia="Arial" w:hAnsi="Arial"/>
          <w:sz w:val="27"/>
          <w:szCs w:val="27"/>
          <w:rtl w:val="0"/>
        </w:rPr>
        <w:t xml:space="preserve">14. Monitoring is described as "ad-hoc" rather than systematic or risk-based, and no whistleblower/anonymous reporting channel or disciplinary framework is mentioned at all (Elements 4, 5, and 6). Ad-hoc monitoring, by definition, has no assurance of coverage, which is precisely how a regulatory change in an operating region went undetected until it produced a fine and negative publicity.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CF">
      <w:pPr>
        <w:spacing w:after="100" w:before="180" w:line="288" w:lineRule="auto"/>
        <w:rPr>
          <w:rFonts w:ascii="Arial" w:cs="Arial" w:eastAsia="Arial" w:hAnsi="Arial"/>
          <w:b w:val="1"/>
          <w:bCs w:val="1"/>
          <w:i w:val="1"/>
          <w:iCs w:val="1"/>
          <w:color w:val="2e74b5"/>
          <w:sz w:val="30"/>
          <w:szCs w:val="30"/>
          <w:u w:val="single"/>
        </w:rPr>
      </w:pPr>
      <w:r w:rsidDel="00000000" w:rsidR="00000000" w:rsidRPr="00000000">
        <w:rPr>
          <w:rFonts w:ascii="Arial" w:cs="Arial" w:eastAsia="Arial" w:hAnsi="Arial"/>
          <w:color w:val="2e74b5"/>
          <w:sz w:val="30"/>
          <w:szCs w:val="30"/>
          <w:rtl w:val="0"/>
        </w:rPr>
        <w:t xml:space="preserve">2. </w:t>
      </w:r>
      <w:r w:rsidDel="00000000" w:rsidR="00000000" w:rsidRPr="00000000">
        <w:rPr>
          <w:rFonts w:ascii="Arial" w:cs="Arial" w:eastAsia="Arial" w:hAnsi="Arial"/>
          <w:b w:val="1"/>
          <w:bCs w:val="1"/>
          <w:i w:val="1"/>
          <w:iCs w:val="1"/>
          <w:color w:val="2e74b5"/>
          <w:sz w:val="30"/>
          <w:szCs w:val="30"/>
          <w:u w:val="single"/>
          <w:rtl w:val="0"/>
        </w:rPr>
        <w:t xml:space="preserve">Five Recommendations to Strengthen the Compliance Program</w:t>
      </w:r>
    </w:p>
    <w:p w:rsidR="00000000" w:rsidDel="00000000" w:rsidP="00000000" w:rsidRDefault="00000000" w:rsidRPr="00000000" w14:paraId="000000D0">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color w:val="1f4d78"/>
          <w:sz w:val="27"/>
          <w:szCs w:val="27"/>
          <w:rtl w:val="0"/>
        </w:rPr>
        <w:t xml:space="preserve">1.</w:t>
      </w:r>
      <w:r w:rsidDel="00000000" w:rsidR="00000000" w:rsidRPr="00000000">
        <w:rPr>
          <w:rFonts w:ascii="Arial" w:cs="Arial" w:eastAsia="Arial" w:hAnsi="Arial"/>
          <w:b w:val="1"/>
          <w:bCs w:val="1"/>
          <w:color w:val="1f4d78"/>
          <w:sz w:val="27"/>
          <w:szCs w:val="27"/>
          <w:u w:val="single"/>
          <w:rtl w:val="0"/>
        </w:rPr>
        <w:t xml:space="preserve"> Convert the Compliance Officer role to a full-time, independent position, separate from Legal Counsel</w:t>
      </w:r>
    </w:p>
    <w:p w:rsidR="00000000" w:rsidDel="00000000" w:rsidP="00000000" w:rsidRDefault="00000000" w:rsidRPr="00000000" w14:paraId="000000D1">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Rationale: Removes the structural conflict of interest between legal risk management and compliance transparency, and gives the function the bandwidth a 150-employee, multi-jurisdictional fintech actually requires. Expected benefit: Faster response to regulatory developments, stronger authority to challenge business decisions, and a program that scales with headcount rather than lagging behind it.</w:t>
      </w:r>
    </w:p>
    <w:p w:rsidR="00000000" w:rsidDel="00000000" w:rsidP="00000000" w:rsidRDefault="00000000" w:rsidRPr="00000000" w14:paraId="000000D2">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color w:val="1f4d78"/>
          <w:sz w:val="27"/>
          <w:szCs w:val="27"/>
          <w:rtl w:val="0"/>
        </w:rPr>
        <w:t xml:space="preserve">2</w:t>
      </w:r>
      <w:r w:rsidDel="00000000" w:rsidR="00000000" w:rsidRPr="00000000">
        <w:rPr>
          <w:rFonts w:ascii="Arial" w:cs="Arial" w:eastAsia="Arial" w:hAnsi="Arial"/>
          <w:b w:val="1"/>
          <w:bCs w:val="1"/>
          <w:color w:val="1f4d78"/>
          <w:sz w:val="27"/>
          <w:szCs w:val="27"/>
          <w:u w:val="single"/>
          <w:rtl w:val="0"/>
        </w:rPr>
        <w:t xml:space="preserve">. Implement a formal regulatory change management (horizon-scanning) process</w:t>
      </w:r>
    </w:p>
    <w:p w:rsidR="00000000" w:rsidDel="00000000" w:rsidP="00000000" w:rsidRDefault="00000000" w:rsidRPr="00000000" w14:paraId="000000D3">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Rationale: The root cause of the recent incident was a failure to track a new regulatory requirement in an operating region, this is a process gap, not a training gap. Expected benefit: A subscription to regulatory alert services or outside counsel briefings for each operating jurisdiction, feeding into a tracked action log, would have caught this change before it became a violation and directly prevents recurrence.</w:t>
      </w:r>
    </w:p>
    <w:p w:rsidR="00000000" w:rsidDel="00000000" w:rsidP="00000000" w:rsidRDefault="00000000" w:rsidRPr="00000000" w14:paraId="000000D4">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color w:val="1f4d78"/>
          <w:sz w:val="27"/>
          <w:szCs w:val="27"/>
          <w:rtl w:val="0"/>
        </w:rPr>
        <w:t xml:space="preserve">3. </w:t>
      </w:r>
      <w:r w:rsidDel="00000000" w:rsidR="00000000" w:rsidRPr="00000000">
        <w:rPr>
          <w:rFonts w:ascii="Arial" w:cs="Arial" w:eastAsia="Arial" w:hAnsi="Arial"/>
          <w:b w:val="1"/>
          <w:bCs w:val="1"/>
          <w:color w:val="1f4d78"/>
          <w:sz w:val="27"/>
          <w:szCs w:val="27"/>
          <w:u w:val="single"/>
          <w:rtl w:val="0"/>
        </w:rPr>
        <w:t xml:space="preserve">Replace ad-hoc monitoring with a risk-based, scheduled monitoring and internal audit calendar</w:t>
      </w:r>
    </w:p>
    <w:p w:rsidR="00000000" w:rsidDel="00000000" w:rsidP="00000000" w:rsidRDefault="00000000" w:rsidRPr="00000000" w14:paraId="000000D5">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Rationale: Monitoring (Element 5) is the clearest gap in the current program; "ad-hoc" provides no assurance of consistent coverage across the business. Expected benefit: A documented calendar (similar to the Part 1 Monitoring Plan above) creates defensible evidence of ongoing oversight for regulators, and surfaces small issues before they escalate into fines.</w:t>
      </w:r>
    </w:p>
    <w:p w:rsidR="00000000" w:rsidDel="00000000" w:rsidP="00000000" w:rsidRDefault="00000000" w:rsidRPr="00000000" w14:paraId="000000D6">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color w:val="1f4d78"/>
          <w:sz w:val="27"/>
          <w:szCs w:val="27"/>
          <w:rtl w:val="0"/>
        </w:rPr>
        <w:t xml:space="preserve">4</w:t>
      </w:r>
      <w:r w:rsidDel="00000000" w:rsidR="00000000" w:rsidRPr="00000000">
        <w:rPr>
          <w:rFonts w:ascii="Arial" w:cs="Arial" w:eastAsia="Arial" w:hAnsi="Arial"/>
          <w:b w:val="1"/>
          <w:bCs w:val="1"/>
          <w:color w:val="1f4d78"/>
          <w:sz w:val="27"/>
          <w:szCs w:val="27"/>
          <w:u w:val="single"/>
          <w:rtl w:val="0"/>
        </w:rPr>
        <w:t xml:space="preserve">. Establish an anonymous reporting channel and a defined policy review cycle</w:t>
      </w:r>
    </w:p>
    <w:p w:rsidR="00000000" w:rsidDel="00000000" w:rsidP="00000000" w:rsidRDefault="00000000" w:rsidRPr="00000000" w14:paraId="000000D7">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Rationale: No internal reporting mechanism is described, and policies are apparently only revisited at major milestones rather than on a schedule. Expected benefit: A whistleblower hotline encourages early internal detection of problems (cheaper and less damaging than regulatory discovery), and an annual (or trigger-based, e.g., upon entering a new country) policy review cycle would have caught the outdated privacy policy before it caused a violation.</w:t>
      </w:r>
    </w:p>
    <w:p w:rsidR="00000000" w:rsidDel="00000000" w:rsidP="00000000" w:rsidRDefault="00000000" w:rsidRPr="00000000" w14:paraId="000000D8">
      <w:pPr>
        <w:spacing w:after="80" w:before="160" w:line="288" w:lineRule="auto"/>
        <w:rPr>
          <w:rFonts w:ascii="Arial" w:cs="Arial" w:eastAsia="Arial" w:hAnsi="Arial"/>
          <w:b w:val="1"/>
          <w:bCs w:val="1"/>
          <w:color w:val="1f4d78"/>
          <w:sz w:val="27"/>
          <w:szCs w:val="27"/>
          <w:u w:val="single"/>
        </w:rPr>
      </w:pPr>
      <w:r w:rsidDel="00000000" w:rsidR="00000000" w:rsidRPr="00000000">
        <w:rPr>
          <w:rFonts w:ascii="Arial" w:cs="Arial" w:eastAsia="Arial" w:hAnsi="Arial"/>
          <w:color w:val="1f4d78"/>
          <w:sz w:val="27"/>
          <w:szCs w:val="27"/>
          <w:rtl w:val="0"/>
        </w:rPr>
        <w:t xml:space="preserve">5. </w:t>
      </w:r>
      <w:r w:rsidDel="00000000" w:rsidR="00000000" w:rsidRPr="00000000">
        <w:rPr>
          <w:rFonts w:ascii="Arial" w:cs="Arial" w:eastAsia="Arial" w:hAnsi="Arial"/>
          <w:b w:val="1"/>
          <w:bCs w:val="1"/>
          <w:color w:val="1f4d78"/>
          <w:sz w:val="27"/>
          <w:szCs w:val="27"/>
          <w:u w:val="single"/>
          <w:rtl w:val="0"/>
        </w:rPr>
        <w:t xml:space="preserve">Build a documented enforcement framework and formal corrective-action tracking</w:t>
      </w:r>
    </w:p>
    <w:p w:rsidR="00000000" w:rsidDel="00000000" w:rsidP="00000000" w:rsidRDefault="00000000" w:rsidRPr="00000000" w14:paraId="000000D9">
      <w:pPr>
        <w:spacing w:after="100" w:line="288" w:lineRule="auto"/>
        <w:rPr>
          <w:rFonts w:ascii="Arial" w:cs="Arial" w:eastAsia="Arial" w:hAnsi="Arial"/>
          <w:sz w:val="27"/>
          <w:szCs w:val="27"/>
        </w:rPr>
      </w:pPr>
      <w:r w:rsidDel="00000000" w:rsidR="00000000" w:rsidRPr="00000000">
        <w:rPr>
          <w:rFonts w:ascii="Arial" w:cs="Arial" w:eastAsia="Arial" w:hAnsi="Arial"/>
          <w:sz w:val="27"/>
          <w:szCs w:val="27"/>
          <w:rtl w:val="0"/>
        </w:rPr>
        <w:t xml:space="preserve">Rationale: Elements 6 (enforcement) and 7 (corrective action) are essentially absent from the program as described, there is no mention of disciplinary consequences or a formal post-incident action log. Expected benefit: A documented, closed-loop corrective action process for the recent privacy-policy incident (and future ones) demonstrates program seriousness to regulators, which is itself a recognized mitigating factor in enforcement and fine decisions, and reduces the risk that the same type of gap recurs elsewhere in the business.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Lmh/15EZMMkHE8s9Md/xzZW/Q==">CgMxLjAaHwoBMBIaChgICVIUChJ0YWJsZS5jZmxqa3gzdDRrNTEaJAoBMRIfCh0IB0IZCgVBcmlhbBIQQXJpYWwgVW5pY29kZSBNUxofCgEyEhoKGAgJUhQKEnRhYmxlLmp2MGtkMXV3Ym1lZRofCgEzEhoKGAgJUhQKEnRhYmxlLjE2MWkybGF6Z3I3eDgAciExVkFFeTVrTTdTSnJuTkc4SzY2YUJ0amdMVFlscWE5c0Y=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