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8b84"/>
          <w:sz w:val="56"/>
          <w:szCs w:val="56"/>
        </w:rPr>
        <w:t xml:space="preserve">Maurice+</w:t>
      </w:r>
    </w:p>
    <w:p>
      <w:pPr>
        <w:spacing w:after="40"/>
      </w:pPr>
      <w:r>
        <w:rPr>
          <w:color w:val="5b6b6a"/>
          <w:sz w:val="28"/>
          <w:szCs w:val="28"/>
        </w:rPr>
        <w:t xml:space="preserve">Modèle économique &amp; feuille de route de lancement</w:t>
      </w:r>
    </w:p>
    <w:p>
      <w:pPr>
        <w:spacing w:after="300"/>
      </w:pPr>
      <w:r>
        <w:rPr>
          <w:i/>
          <w:iCs/>
          <w:color w:val="5b6b6a"/>
          <w:sz w:val="20"/>
          <w:szCs w:val="20"/>
        </w:rPr>
        <w:t xml:space="preserve">Document de travail — 10 juillet 2026</w:t>
      </w:r>
    </w:p>
    <w:p>
      <w:pPr>
        <w:pBdr>
          <w:bottom w:val="single" w:color="cccccc" w:sz="6"/>
        </w:pBdr>
        <w:spacing w:after="200"/>
      </w:pPr>
    </w:p>
    <w:p>
      <w:pPr>
        <w:pStyle w:val="Heading1"/>
        <w:spacing w:after="160" w:before="360"/>
      </w:pPr>
      <w:r>
        <w:t xml:space="preserve">1. Vision &amp; positionnement</w:t>
      </w:r>
    </w:p>
    <w:p>
      <w:pPr>
        <w:spacing w:after="160"/>
      </w:pPr>
      <w:r>
        <w:t xml:space="preserve">Promesse : « L'application indispensable pour vivre et découvrir l'île Maurice. »</w:t>
      </w:r>
    </w:p>
    <w:p>
      <w:pPr>
        <w:pStyle w:val="ListParagraph"/>
        <w:numPr>
          <w:ilvl w:val="0"/>
          <w:numId w:val="1"/>
        </w:numPr>
        <w:spacing w:after="80"/>
      </w:pPr>
      <w:r>
        <w:rPr>
          <w:b/>
          <w:bCs/>
        </w:rPr>
        <w:t xml:space="preserve">Cible prioritaire (Phase 1) : </w:t>
      </w:r>
      <w:r>
        <w:t xml:space="preserve">expatriés et touristes européens/francophones présents à Maurice. Segment plus restreint que le grand public mauricien, mais homogène, à fort pouvoir d'achat, avec un besoin récurrent — donc plus facile à acquérir et à monétiser en premier.</w:t>
      </w:r>
    </w:p>
    <w:p>
      <w:pPr>
        <w:pStyle w:val="ListParagraph"/>
        <w:numPr>
          <w:ilvl w:val="0"/>
          <w:numId w:val="1"/>
        </w:numPr>
        <w:spacing w:after="80"/>
      </w:pPr>
      <w:r>
        <w:rPr>
          <w:b/>
          <w:bCs/>
        </w:rPr>
        <w:t xml:space="preserve">Extension prévue (Phase 4) : </w:t>
      </w:r>
      <w:r>
        <w:t xml:space="preserve">ouverture progressive au grand public mauricien une fois la base (contenu, notoriété, effet réseau) suffisamment solide.</w:t>
      </w:r>
    </w:p>
    <w:p>
      <w:pPr>
        <w:pStyle w:val="ListParagraph"/>
        <w:numPr>
          <w:ilvl w:val="0"/>
          <w:numId w:val="1"/>
        </w:numPr>
        <w:spacing w:after="80"/>
      </w:pPr>
      <w:r>
        <w:rPr>
          <w:b/>
          <w:bCs/>
        </w:rPr>
        <w:t xml:space="preserve">Ambition long terme : </w:t>
      </w:r>
      <w:r>
        <w:t xml:space="preserve">ne pas rester un simple annuaire, mais devenir la porte d'entrée numérique de l'île Maurice — un « Google Maps intelligent » enrichi par les avis, les réservations, les annonces et une communauté. Ce positionnement est plus difficile à copier et ouvre davantage de sources de revenus qu'un simple répertoire d'adresses.</w:t>
      </w:r>
    </w:p>
    <w:p>
      <w:pPr>
        <w:pStyle w:val="Heading1"/>
        <w:spacing w:after="160" w:before="360"/>
      </w:pPr>
      <w:r>
        <w:t xml:space="preserve">2. Marché cible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0e8b84" w:val="clear"/>
            <w:tcMar>
              <w:top w:type="dxa" w:w="100"/>
              <w:left w:type="dxa" w:w="120"/>
              <w:bottom w:type="dxa" w:w="100"/>
              <w:right w:type="dxa" w:w="120"/>
            </w:tcMar>
          </w:tcPr>
          <w:p>
            <w:pPr>
              <w:jc w:val="left"/>
            </w:pPr>
            <w:r>
              <w:rPr>
                <w:b/>
                <w:bCs/>
                <w:color w:val="FFFFFF"/>
              </w:rPr>
              <w:t xml:space="preserve">Segment cible</w:t>
            </w:r>
          </w:p>
        </w:tc>
        <w:tc>
          <w:tcPr>
            <w:tcW w:type="dxa" w:w="3200"/>
            <w:shd w:fill="0e8b84" w:val="clear"/>
            <w:tcMar>
              <w:top w:type="dxa" w:w="100"/>
              <w:left w:type="dxa" w:w="120"/>
              <w:bottom w:type="dxa" w:w="100"/>
              <w:right w:type="dxa" w:w="120"/>
            </w:tcMar>
          </w:tcPr>
          <w:p>
            <w:pPr>
              <w:jc w:val="left"/>
            </w:pPr>
            <w:r>
              <w:rPr>
                <w:b/>
                <w:bCs/>
                <w:color w:val="FFFFFF"/>
              </w:rPr>
              <w:t xml:space="preserve">Volume estimé / an</w:t>
            </w:r>
          </w:p>
        </w:tc>
        <w:tc>
          <w:tcPr>
            <w:tcW w:type="dxa" w:w="3200"/>
            <w:shd w:fill="0e8b84" w:val="clear"/>
            <w:tcMar>
              <w:top w:type="dxa" w:w="100"/>
              <w:left w:type="dxa" w:w="120"/>
              <w:bottom w:type="dxa" w:w="100"/>
              <w:right w:type="dxa" w:w="120"/>
            </w:tcMar>
          </w:tcPr>
          <w:p>
            <w:pPr>
              <w:jc w:val="left"/>
            </w:pPr>
            <w:r>
              <w:rPr>
                <w:b/>
                <w:bCs/>
                <w:color w:val="FFFFFF"/>
              </w:rPr>
              <w:t xml:space="preserve">Utilisateurs actifs visés à maturité</w:t>
            </w:r>
          </w:p>
        </w:tc>
      </w:tr>
      <w:tr>
        <w:tc>
          <w:tcPr>
            <w:tcW w:type="dxa" w:w="3200"/>
            <w:shd w:fill="eef5f4" w:val="clear"/>
            <w:tcMar>
              <w:top w:type="dxa" w:w="100"/>
              <w:left w:type="dxa" w:w="120"/>
              <w:bottom w:type="dxa" w:w="100"/>
              <w:right w:type="dxa" w:w="120"/>
            </w:tcMar>
          </w:tcPr>
          <w:p>
            <w:pPr>
              <w:jc w:val="left"/>
            </w:pPr>
            <w:r>
              <w:rPr>
                <w:b w:val="false"/>
                <w:bCs w:val="false"/>
                <w:color w:val="FFFFFF"/>
              </w:rPr>
              <w:t xml:space="preserve">Touristes européens / francophones</w:t>
            </w:r>
          </w:p>
        </w:tc>
        <w:tc>
          <w:tcPr>
            <w:tcW w:type="dxa" w:w="3200"/>
            <w:shd w:fill="eef5f4" w:val="clear"/>
            <w:tcMar>
              <w:top w:type="dxa" w:w="100"/>
              <w:left w:type="dxa" w:w="120"/>
              <w:bottom w:type="dxa" w:w="100"/>
              <w:right w:type="dxa" w:w="120"/>
            </w:tcMar>
          </w:tcPr>
          <w:p>
            <w:pPr>
              <w:jc w:val="left"/>
            </w:pPr>
            <w:r>
              <w:rPr>
                <w:b w:val="false"/>
                <w:bCs w:val="false"/>
                <w:color w:val="FFFFFF"/>
              </w:rPr>
              <w:t xml:space="preserve">600 000 – 750 000</w:t>
            </w:r>
          </w:p>
        </w:tc>
        <w:tc>
          <w:tcPr>
            <w:tcW w:type="dxa" w:w="3200"/>
            <w:shd w:fill="eef5f4" w:val="clear"/>
            <w:tcMar>
              <w:top w:type="dxa" w:w="100"/>
              <w:left w:type="dxa" w:w="120"/>
              <w:bottom w:type="dxa" w:w="100"/>
              <w:right w:type="dxa" w:w="120"/>
            </w:tcMar>
          </w:tcPr>
          <w:p>
            <w:pPr>
              <w:jc w:val="left"/>
            </w:pPr>
            <w:r>
              <w:rPr>
                <w:b w:val="false"/>
                <w:bCs w:val="false"/>
                <w:color w:val="FFFFFF"/>
              </w:rPr>
              <w:t xml:space="preserve">70 000 – 100 000 (adoption 10–15 %)</w:t>
            </w:r>
          </w:p>
        </w:tc>
      </w:tr>
      <w:tr>
        <w:tc>
          <w:tcPr>
            <w:tcW w:type="dxa" w:w="3200"/>
            <w:tcMar>
              <w:top w:type="dxa" w:w="100"/>
              <w:left w:type="dxa" w:w="120"/>
              <w:bottom w:type="dxa" w:w="100"/>
              <w:right w:type="dxa" w:w="120"/>
            </w:tcMar>
          </w:tcPr>
          <w:p>
            <w:pPr>
              <w:jc w:val="left"/>
            </w:pPr>
            <w:r>
              <w:rPr>
                <w:b w:val="false"/>
                <w:bCs w:val="false"/>
              </w:rPr>
              <w:t xml:space="preserve">Expatriés européens résidents</w:t>
            </w:r>
          </w:p>
        </w:tc>
        <w:tc>
          <w:tcPr>
            <w:tcW w:type="dxa" w:w="3200"/>
            <w:tcMar>
              <w:top w:type="dxa" w:w="100"/>
              <w:left w:type="dxa" w:w="120"/>
              <w:bottom w:type="dxa" w:w="100"/>
              <w:right w:type="dxa" w:w="120"/>
            </w:tcMar>
          </w:tcPr>
          <w:p>
            <w:pPr>
              <w:jc w:val="left"/>
            </w:pPr>
            <w:r>
              <w:rPr>
                <w:b w:val="false"/>
                <w:bCs w:val="false"/>
              </w:rPr>
              <w:t xml:space="preserve">35 000 – 50 000 personnes</w:t>
            </w:r>
          </w:p>
        </w:tc>
        <w:tc>
          <w:tcPr>
            <w:tcW w:type="dxa" w:w="3200"/>
            <w:tcMar>
              <w:top w:type="dxa" w:w="100"/>
              <w:left w:type="dxa" w:w="120"/>
              <w:bottom w:type="dxa" w:w="100"/>
              <w:right w:type="dxa" w:w="120"/>
            </w:tcMar>
          </w:tcPr>
          <w:p>
            <w:pPr>
              <w:jc w:val="left"/>
            </w:pPr>
            <w:r>
              <w:rPr>
                <w:b w:val="false"/>
                <w:bCs w:val="false"/>
              </w:rPr>
              <w:t xml:space="preserve">20 000 – 30 000 (adoption ~50 %)</w:t>
            </w:r>
          </w:p>
        </w:tc>
      </w:tr>
      <w:tr>
        <w:tc>
          <w:tcPr>
            <w:tcW w:type="dxa" w:w="3200"/>
            <w:shd w:fill="eef5f4" w:val="clear"/>
            <w:tcMar>
              <w:top w:type="dxa" w:w="100"/>
              <w:left w:type="dxa" w:w="120"/>
              <w:bottom w:type="dxa" w:w="100"/>
              <w:right w:type="dxa" w:w="120"/>
            </w:tcMar>
          </w:tcPr>
          <w:p>
            <w:pPr>
              <w:jc w:val="left"/>
            </w:pPr>
            <w:r>
              <w:rPr>
                <w:b w:val="false"/>
                <w:bCs w:val="false"/>
                <w:color w:val="FFFFFF"/>
              </w:rPr>
              <w:t xml:space="preserve">Total marché adressable resserré</w:t>
            </w:r>
          </w:p>
        </w:tc>
        <w:tc>
          <w:tcPr>
            <w:tcW w:type="dxa" w:w="3200"/>
            <w:shd w:fill="eef5f4" w:val="clear"/>
            <w:tcMar>
              <w:top w:type="dxa" w:w="100"/>
              <w:left w:type="dxa" w:w="120"/>
              <w:bottom w:type="dxa" w:w="100"/>
              <w:right w:type="dxa" w:w="120"/>
            </w:tcMar>
          </w:tcPr>
          <w:p>
            <w:pPr>
              <w:jc w:val="left"/>
            </w:pPr>
            <w:r>
              <w:rPr>
                <w:b w:val="false"/>
                <w:bCs w:val="false"/>
                <w:color w:val="FFFFFF"/>
              </w:rPr>
              <w:t xml:space="preserve">≈ 650 000 – 800 000 personnes/an</w:t>
            </w:r>
          </w:p>
        </w:tc>
        <w:tc>
          <w:tcPr>
            <w:tcW w:type="dxa" w:w="3200"/>
            <w:shd w:fill="eef5f4" w:val="clear"/>
            <w:tcMar>
              <w:top w:type="dxa" w:w="100"/>
              <w:left w:type="dxa" w:w="120"/>
              <w:bottom w:type="dxa" w:w="100"/>
              <w:right w:type="dxa" w:w="120"/>
            </w:tcMar>
          </w:tcPr>
          <w:p>
            <w:pPr>
              <w:jc w:val="left"/>
            </w:pPr>
            <w:r>
              <w:rPr>
                <w:b w:val="false"/>
                <w:bCs w:val="false"/>
                <w:color w:val="FFFFFF"/>
              </w:rPr>
              <w:t xml:space="preserve">≈ 90 000 – 130 000 utilisateurs actifs/an</w:t>
            </w:r>
          </w:p>
        </w:tc>
      </w:tr>
    </w:tbl>
    <w:p>
      <w:pPr>
        <w:spacing w:after="200"/>
      </w:pPr>
    </w:p>
    <w:p>
      <w:pPr>
        <w:spacing w:after="160"/>
      </w:pPr>
      <w:r>
        <w:rPr>
          <w:i/>
          <w:iCs/>
          <w:color w:val="5b6b6a"/>
          <w:sz w:val="20"/>
          <w:szCs w:val="20"/>
        </w:rPr>
        <w:t xml:space="preserve">Ces chiffres correspondent à des objectifs plausibles pour une plateforme qui parvient à créer un effet réseau — pas à des prévisions garanties.</w:t>
      </w:r>
    </w:p>
    <w:p>
      <w:pPr>
        <w:pStyle w:val="Heading1"/>
        <w:spacing w:after="160" w:before="360"/>
      </w:pPr>
      <w:r>
        <w:t xml:space="preserve">3. Proposition de valeur par profil</w:t>
      </w:r>
    </w:p>
    <w:p>
      <w:pPr>
        <w:pStyle w:val="ListParagraph"/>
        <w:numPr>
          <w:ilvl w:val="0"/>
          <w:numId w:val="1"/>
        </w:numPr>
        <w:spacing w:after="80"/>
      </w:pPr>
      <w:r>
        <w:rPr>
          <w:b/>
          <w:bCs/>
        </w:rPr>
        <w:t xml:space="preserve">Touriste : </w:t>
      </w:r>
      <w:r>
        <w:t xml:space="preserve">« Que faire aujourd'hui ? » — activités, restaurants, adresses fiables autour de lui, sans dépendre d'avis génériques.</w:t>
      </w:r>
    </w:p>
    <w:p>
      <w:pPr>
        <w:pStyle w:val="ListParagraph"/>
        <w:numPr>
          <w:ilvl w:val="0"/>
          <w:numId w:val="1"/>
        </w:numPr>
        <w:spacing w:after="80"/>
      </w:pPr>
      <w:r>
        <w:rPr>
          <w:b/>
          <w:bCs/>
        </w:rPr>
        <w:t xml:space="preserve">Expatrié : </w:t>
      </w:r>
      <w:r>
        <w:t xml:space="preserve">« Où trouver un bon plombier, une école, un médecin ? » — le besoin qui crée la fidélité et l'usage récurrent, contrairement au touriste de passage.</w:t>
      </w:r>
    </w:p>
    <w:p>
      <w:pPr>
        <w:pStyle w:val="Heading1"/>
        <w:spacing w:after="160" w:before="360"/>
      </w:pPr>
      <w:r>
        <w:t xml:space="preserve">4. Modèle de revenus</w:t>
      </w:r>
    </w:p>
    <w:p>
      <w:pPr>
        <w:spacing w:after="160"/>
      </w:pPr>
      <w:r>
        <w:t xml:space="preserve">L'abonnement Pro des établissements est le moteur principal du modèle — les autres sources sont des compléments à activer une fois la base d'utilisateurs et de contenu installée. Convaincre 500 établissements à 30 €/mois représente déjà 15 000 €/mois ; 1 000 établissements, 30 000 €/mois.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00"/>
      </w:tblGrid>
      <w:tr>
        <w:trPr>
          <w:tblHeader/>
        </w:trPr>
        <w:tc>
          <w:tcPr>
            <w:tcW w:type="dxa" w:w="2600"/>
            <w:shd w:fill="0e8b84" w:val="clear"/>
            <w:tcMar>
              <w:top w:type="dxa" w:w="100"/>
              <w:left w:type="dxa" w:w="120"/>
              <w:bottom w:type="dxa" w:w="100"/>
              <w:right w:type="dxa" w:w="120"/>
            </w:tcMar>
          </w:tcPr>
          <w:p>
            <w:pPr>
              <w:jc w:val="left"/>
            </w:pPr>
            <w:r>
              <w:rPr>
                <w:b/>
                <w:bCs/>
                <w:color w:val="FFFFFF"/>
              </w:rPr>
              <w:t xml:space="preserve">Source de revenu</w:t>
            </w:r>
          </w:p>
        </w:tc>
        <w:tc>
          <w:tcPr>
            <w:tcW w:type="dxa" w:w="4800"/>
            <w:shd w:fill="0e8b84" w:val="clear"/>
            <w:tcMar>
              <w:top w:type="dxa" w:w="100"/>
              <w:left w:type="dxa" w:w="120"/>
              <w:bottom w:type="dxa" w:w="100"/>
              <w:right w:type="dxa" w:w="120"/>
            </w:tcMar>
          </w:tcPr>
          <w:p>
            <w:pPr>
              <w:jc w:val="left"/>
            </w:pPr>
            <w:r>
              <w:rPr>
                <w:b/>
                <w:bCs/>
                <w:color w:val="FFFFFF"/>
              </w:rPr>
              <w:t xml:space="preserve">Description</w:t>
            </w:r>
          </w:p>
        </w:tc>
        <w:tc>
          <w:tcPr>
            <w:tcW w:type="dxa" w:w="2200"/>
            <w:shd w:fill="0e8b84" w:val="clear"/>
            <w:tcMar>
              <w:top w:type="dxa" w:w="100"/>
              <w:left w:type="dxa" w:w="120"/>
              <w:bottom w:type="dxa" w:w="100"/>
              <w:right w:type="dxa" w:w="120"/>
            </w:tcMar>
          </w:tcPr>
          <w:p>
            <w:pPr>
              <w:jc w:val="left"/>
            </w:pPr>
            <w:r>
              <w:rPr>
                <w:b/>
                <w:bCs/>
                <w:color w:val="FFFFFF"/>
              </w:rPr>
              <w:t xml:space="preserve">Horizon</w:t>
            </w:r>
          </w:p>
        </w:tc>
      </w:tr>
      <w:tr>
        <w:tc>
          <w:tcPr>
            <w:tcW w:type="dxa" w:w="2600"/>
            <w:shd w:fill="eef5f4" w:val="clear"/>
            <w:tcMar>
              <w:top w:type="dxa" w:w="100"/>
              <w:left w:type="dxa" w:w="120"/>
              <w:bottom w:type="dxa" w:w="100"/>
              <w:right w:type="dxa" w:w="120"/>
            </w:tcMar>
          </w:tcPr>
          <w:p>
            <w:pPr>
              <w:jc w:val="left"/>
            </w:pPr>
            <w:r>
              <w:rPr>
                <w:b w:val="false"/>
                <w:bCs w:val="false"/>
                <w:color w:val="FFFFFF"/>
              </w:rPr>
              <w:t xml:space="preserve">Abonnement Pro (moteur principal)</w:t>
            </w:r>
          </w:p>
        </w:tc>
        <w:tc>
          <w:tcPr>
            <w:tcW w:type="dxa" w:w="4800"/>
            <w:shd w:fill="eef5f4" w:val="clear"/>
            <w:tcMar>
              <w:top w:type="dxa" w:w="100"/>
              <w:left w:type="dxa" w:w="120"/>
              <w:bottom w:type="dxa" w:w="100"/>
              <w:right w:type="dxa" w:w="120"/>
            </w:tcMar>
          </w:tcPr>
          <w:p>
            <w:pPr>
              <w:jc w:val="left"/>
            </w:pPr>
            <w:r>
              <w:rPr>
                <w:b w:val="false"/>
                <w:bCs w:val="false"/>
                <w:color w:val="FFFFFF"/>
              </w:rPr>
              <w:t xml:space="preserve">20–50 €/mois : tête de résultats, badge "Partenaire", bouton WhatsApp, promo, stats de consultation.</w:t>
            </w:r>
          </w:p>
        </w:tc>
        <w:tc>
          <w:tcPr>
            <w:tcW w:type="dxa" w:w="2200"/>
            <w:shd w:fill="eef5f4" w:val="clear"/>
            <w:tcMar>
              <w:top w:type="dxa" w:w="100"/>
              <w:left w:type="dxa" w:w="120"/>
              <w:bottom w:type="dxa" w:w="100"/>
              <w:right w:type="dxa" w:w="120"/>
            </w:tcMar>
          </w:tcPr>
          <w:p>
            <w:pPr>
              <w:jc w:val="left"/>
            </w:pPr>
            <w:r>
              <w:rPr>
                <w:b w:val="false"/>
                <w:bCs w:val="false"/>
                <w:color w:val="FFFFFF"/>
              </w:rPr>
              <w:t xml:space="preserve">Phase 2</w:t>
            </w:r>
          </w:p>
        </w:tc>
      </w:tr>
      <w:tr>
        <w:tc>
          <w:tcPr>
            <w:tcW w:type="dxa" w:w="2600"/>
            <w:tcMar>
              <w:top w:type="dxa" w:w="100"/>
              <w:left w:type="dxa" w:w="120"/>
              <w:bottom w:type="dxa" w:w="100"/>
              <w:right w:type="dxa" w:w="120"/>
            </w:tcMar>
          </w:tcPr>
          <w:p>
            <w:pPr>
              <w:jc w:val="left"/>
            </w:pPr>
            <w:r>
              <w:rPr>
                <w:b w:val="false"/>
                <w:bCs w:val="false"/>
              </w:rPr>
              <w:t xml:space="preserve">Commissions réservation</w:t>
            </w:r>
          </w:p>
        </w:tc>
        <w:tc>
          <w:tcPr>
            <w:tcW w:type="dxa" w:w="4800"/>
            <w:tcMar>
              <w:top w:type="dxa" w:w="100"/>
              <w:left w:type="dxa" w:w="120"/>
              <w:bottom w:type="dxa" w:w="100"/>
              <w:right w:type="dxa" w:w="120"/>
            </w:tcMar>
          </w:tcPr>
          <w:p>
            <w:pPr>
              <w:jc w:val="left"/>
            </w:pPr>
            <w:r>
              <w:rPr>
                <w:b w:val="false"/>
                <w:bCs w:val="false"/>
              </w:rPr>
              <w:t xml:space="preserve">5–10 % sur réservations via l'appli (excursions, restaurants, plongée, location…).</w:t>
            </w:r>
          </w:p>
        </w:tc>
        <w:tc>
          <w:tcPr>
            <w:tcW w:type="dxa" w:w="2200"/>
            <w:tcMar>
              <w:top w:type="dxa" w:w="100"/>
              <w:left w:type="dxa" w:w="120"/>
              <w:bottom w:type="dxa" w:w="100"/>
              <w:right w:type="dxa" w:w="120"/>
            </w:tcMar>
          </w:tcPr>
          <w:p>
            <w:pPr>
              <w:jc w:val="left"/>
            </w:pPr>
            <w:r>
              <w:rPr>
                <w:b w:val="false"/>
                <w:bCs w:val="false"/>
              </w:rPr>
              <w:t xml:space="preserve">Phase 3</w:t>
            </w:r>
          </w:p>
        </w:tc>
      </w:tr>
      <w:tr>
        <w:tc>
          <w:tcPr>
            <w:tcW w:type="dxa" w:w="2600"/>
            <w:shd w:fill="eef5f4" w:val="clear"/>
            <w:tcMar>
              <w:top w:type="dxa" w:w="100"/>
              <w:left w:type="dxa" w:w="120"/>
              <w:bottom w:type="dxa" w:w="100"/>
              <w:right w:type="dxa" w:w="120"/>
            </w:tcMar>
          </w:tcPr>
          <w:p>
            <w:pPr>
              <w:jc w:val="left"/>
            </w:pPr>
            <w:r>
              <w:rPr>
                <w:b w:val="false"/>
                <w:bCs w:val="false"/>
                <w:color w:val="FFFFFF"/>
              </w:rPr>
              <w:t xml:space="preserve">Petites annonces Premium</w:t>
            </w:r>
          </w:p>
        </w:tc>
        <w:tc>
          <w:tcPr>
            <w:tcW w:type="dxa" w:w="4800"/>
            <w:shd w:fill="eef5f4" w:val="clear"/>
            <w:tcMar>
              <w:top w:type="dxa" w:w="100"/>
              <w:left w:type="dxa" w:w="120"/>
              <w:bottom w:type="dxa" w:w="100"/>
              <w:right w:type="dxa" w:w="120"/>
            </w:tcMar>
          </w:tcPr>
          <w:p>
            <w:pPr>
              <w:jc w:val="left"/>
            </w:pPr>
            <w:r>
              <w:rPr>
                <w:b w:val="false"/>
                <w:bCs w:val="false"/>
                <w:color w:val="FFFFFF"/>
              </w:rPr>
              <w:t xml:space="preserve">Publication gratuite, options payantes : mise en avant, remontée, badge vérifié.</w:t>
            </w:r>
          </w:p>
        </w:tc>
        <w:tc>
          <w:tcPr>
            <w:tcW w:type="dxa" w:w="2200"/>
            <w:shd w:fill="eef5f4" w:val="clear"/>
            <w:tcMar>
              <w:top w:type="dxa" w:w="100"/>
              <w:left w:type="dxa" w:w="120"/>
              <w:bottom w:type="dxa" w:w="100"/>
              <w:right w:type="dxa" w:w="120"/>
            </w:tcMar>
          </w:tcPr>
          <w:p>
            <w:pPr>
              <w:jc w:val="left"/>
            </w:pPr>
            <w:r>
              <w:rPr>
                <w:b w:val="false"/>
                <w:bCs w:val="false"/>
                <w:color w:val="FFFFFF"/>
              </w:rPr>
              <w:t xml:space="preserve">Phase 3</w:t>
            </w:r>
          </w:p>
        </w:tc>
      </w:tr>
      <w:tr>
        <w:tc>
          <w:tcPr>
            <w:tcW w:type="dxa" w:w="2600"/>
            <w:tcMar>
              <w:top w:type="dxa" w:w="100"/>
              <w:left w:type="dxa" w:w="120"/>
              <w:bottom w:type="dxa" w:w="100"/>
              <w:right w:type="dxa" w:w="120"/>
            </w:tcMar>
          </w:tcPr>
          <w:p>
            <w:pPr>
              <w:jc w:val="left"/>
            </w:pPr>
            <w:r>
              <w:rPr>
                <w:b w:val="false"/>
                <w:bCs w:val="false"/>
              </w:rPr>
              <w:t xml:space="preserve">"Pass Maurice"</w:t>
            </w:r>
          </w:p>
        </w:tc>
        <w:tc>
          <w:tcPr>
            <w:tcW w:type="dxa" w:w="4800"/>
            <w:tcMar>
              <w:top w:type="dxa" w:w="100"/>
              <w:left w:type="dxa" w:w="120"/>
              <w:bottom w:type="dxa" w:w="100"/>
              <w:right w:type="dxa" w:w="120"/>
            </w:tcMar>
          </w:tcPr>
          <w:p>
            <w:pPr>
              <w:jc w:val="left"/>
            </w:pPr>
            <w:r>
              <w:rPr>
                <w:b w:val="false"/>
                <w:bCs w:val="false"/>
              </w:rPr>
              <w:t xml:space="preserve">5–10 €/mois pour l'utilisateur final : réductions et avantages partenaires.</w:t>
            </w:r>
          </w:p>
        </w:tc>
        <w:tc>
          <w:tcPr>
            <w:tcW w:type="dxa" w:w="2200"/>
            <w:tcMar>
              <w:top w:type="dxa" w:w="100"/>
              <w:left w:type="dxa" w:w="120"/>
              <w:bottom w:type="dxa" w:w="100"/>
              <w:right w:type="dxa" w:w="120"/>
            </w:tcMar>
          </w:tcPr>
          <w:p>
            <w:pPr>
              <w:jc w:val="left"/>
            </w:pPr>
            <w:r>
              <w:rPr>
                <w:b w:val="false"/>
                <w:bCs w:val="false"/>
              </w:rPr>
              <w:t xml:space="preserve">Phase 3–4</w:t>
            </w:r>
          </w:p>
        </w:tc>
      </w:tr>
      <w:tr>
        <w:tc>
          <w:tcPr>
            <w:tcW w:type="dxa" w:w="2600"/>
            <w:shd w:fill="eef5f4" w:val="clear"/>
            <w:tcMar>
              <w:top w:type="dxa" w:w="100"/>
              <w:left w:type="dxa" w:w="120"/>
              <w:bottom w:type="dxa" w:w="100"/>
              <w:right w:type="dxa" w:w="120"/>
            </w:tcMar>
          </w:tcPr>
          <w:p>
            <w:pPr>
              <w:jc w:val="left"/>
            </w:pPr>
            <w:r>
              <w:rPr>
                <w:b w:val="false"/>
                <w:bCs w:val="false"/>
                <w:color w:val="FFFFFF"/>
              </w:rPr>
              <w:t xml:space="preserve">Partenariats</w:t>
            </w:r>
          </w:p>
        </w:tc>
        <w:tc>
          <w:tcPr>
            <w:tcW w:type="dxa" w:w="4800"/>
            <w:shd w:fill="eef5f4" w:val="clear"/>
            <w:tcMar>
              <w:top w:type="dxa" w:w="100"/>
              <w:left w:type="dxa" w:w="120"/>
              <w:bottom w:type="dxa" w:w="100"/>
              <w:right w:type="dxa" w:w="120"/>
            </w:tcMar>
          </w:tcPr>
          <w:p>
            <w:pPr>
              <w:jc w:val="left"/>
            </w:pPr>
            <w:r>
              <w:rPr>
                <w:b w:val="false"/>
                <w:bCs w:val="false"/>
                <w:color w:val="FFFFFF"/>
              </w:rPr>
              <w:t xml:space="preserve">Agences immobilières, assureurs, banques, opérateurs télécom, loueurs — canal d'acquisition.</w:t>
            </w:r>
          </w:p>
        </w:tc>
        <w:tc>
          <w:tcPr>
            <w:tcW w:type="dxa" w:w="2200"/>
            <w:shd w:fill="eef5f4" w:val="clear"/>
            <w:tcMar>
              <w:top w:type="dxa" w:w="100"/>
              <w:left w:type="dxa" w:w="120"/>
              <w:bottom w:type="dxa" w:w="100"/>
              <w:right w:type="dxa" w:w="120"/>
            </w:tcMar>
          </w:tcPr>
          <w:p>
            <w:pPr>
              <w:jc w:val="left"/>
            </w:pPr>
            <w:r>
              <w:rPr>
                <w:b w:val="false"/>
                <w:bCs w:val="false"/>
                <w:color w:val="FFFFFF"/>
              </w:rPr>
              <w:t xml:space="preserve">Opportuniste</w:t>
            </w:r>
          </w:p>
        </w:tc>
      </w:tr>
      <w:tr>
        <w:tc>
          <w:tcPr>
            <w:tcW w:type="dxa" w:w="2600"/>
            <w:tcMar>
              <w:top w:type="dxa" w:w="100"/>
              <w:left w:type="dxa" w:w="120"/>
              <w:bottom w:type="dxa" w:w="100"/>
              <w:right w:type="dxa" w:w="120"/>
            </w:tcMar>
          </w:tcPr>
          <w:p>
            <w:pPr>
              <w:jc w:val="left"/>
            </w:pPr>
            <w:r>
              <w:rPr>
                <w:b w:val="false"/>
                <w:bCs w:val="false"/>
              </w:rPr>
              <w:t xml:space="preserve">Publicité locale ciblée</w:t>
            </w:r>
          </w:p>
        </w:tc>
        <w:tc>
          <w:tcPr>
            <w:tcW w:type="dxa" w:w="4800"/>
            <w:tcMar>
              <w:top w:type="dxa" w:w="100"/>
              <w:left w:type="dxa" w:w="120"/>
              <w:bottom w:type="dxa" w:w="100"/>
              <w:right w:type="dxa" w:w="120"/>
            </w:tcMar>
          </w:tcPr>
          <w:p>
            <w:pPr>
              <w:jc w:val="left"/>
            </w:pPr>
            <w:r>
              <w:rPr>
                <w:b w:val="false"/>
                <w:bCs w:val="false"/>
              </w:rPr>
              <w:t xml:space="preserve">Mises en avant géolocalisées, utiles car liées à la recherche de l'utilisateur.</w:t>
            </w:r>
          </w:p>
        </w:tc>
        <w:tc>
          <w:tcPr>
            <w:tcW w:type="dxa" w:w="2200"/>
            <w:tcMar>
              <w:top w:type="dxa" w:w="100"/>
              <w:left w:type="dxa" w:w="120"/>
              <w:bottom w:type="dxa" w:w="100"/>
              <w:right w:type="dxa" w:w="120"/>
            </w:tcMar>
          </w:tcPr>
          <w:p>
            <w:pPr>
              <w:jc w:val="left"/>
            </w:pPr>
            <w:r>
              <w:rPr>
                <w:b w:val="false"/>
                <w:bCs w:val="false"/>
              </w:rPr>
              <w:t xml:space="preserve">Phase 3</w:t>
            </w:r>
          </w:p>
        </w:tc>
      </w:tr>
    </w:tbl>
    <w:p>
      <w:pPr>
        <w:pStyle w:val="Heading1"/>
        <w:spacing w:after="160" w:before="360"/>
      </w:pPr>
      <w:r>
        <w:t xml:space="preserve">5. Feuille de route de lancement</w:t>
      </w:r>
    </w:p>
    <w:p>
      <w:pPr>
        <w:spacing w:after="160"/>
      </w:pPr>
      <w:r>
        <w:t xml:space="preserve">Principe directeur : pendant les 12 à 18 premiers mois, ne pas chercher à maximiser les revenus. Se concentrer sur l'acquisition d'utilisateurs, le référencement d'établissements, la qualité des contenus, les avis et la notoriété. Une fois cette base solide en place, les professionnels auront naturellement intérêt à payer pour être mieux visibles.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00"/>
        <w:gridCol w:w="3000"/>
      </w:tblGrid>
      <w:tr>
        <w:trPr>
          <w:tblHeader/>
        </w:trPr>
        <w:tc>
          <w:tcPr>
            <w:tcW w:type="dxa" w:w="1500"/>
            <w:shd w:fill="0e8b84" w:val="clear"/>
            <w:tcMar>
              <w:top w:type="dxa" w:w="100"/>
              <w:left w:type="dxa" w:w="120"/>
              <w:bottom w:type="dxa" w:w="100"/>
              <w:right w:type="dxa" w:w="120"/>
            </w:tcMar>
          </w:tcPr>
          <w:p>
            <w:pPr>
              <w:jc w:val="left"/>
            </w:pPr>
            <w:r>
              <w:rPr>
                <w:b/>
                <w:bCs/>
                <w:color w:val="FFFFFF"/>
              </w:rPr>
              <w:t xml:space="preserve">Phase</w:t>
            </w:r>
          </w:p>
        </w:tc>
        <w:tc>
          <w:tcPr>
            <w:tcW w:type="dxa" w:w="2100"/>
            <w:shd w:fill="0e8b84" w:val="clear"/>
            <w:tcMar>
              <w:top w:type="dxa" w:w="100"/>
              <w:left w:type="dxa" w:w="120"/>
              <w:bottom w:type="dxa" w:w="100"/>
              <w:right w:type="dxa" w:w="120"/>
            </w:tcMar>
          </w:tcPr>
          <w:p>
            <w:pPr>
              <w:jc w:val="left"/>
            </w:pPr>
            <w:r>
              <w:rPr>
                <w:b/>
                <w:bCs/>
                <w:color w:val="FFFFFF"/>
              </w:rPr>
              <w:t xml:space="preserve">Durée</w:t>
            </w:r>
          </w:p>
        </w:tc>
        <w:tc>
          <w:tcPr>
            <w:tcW w:type="dxa" w:w="3000"/>
            <w:shd w:fill="0e8b84" w:val="clear"/>
            <w:tcMar>
              <w:top w:type="dxa" w:w="100"/>
              <w:left w:type="dxa" w:w="120"/>
              <w:bottom w:type="dxa" w:w="100"/>
              <w:right w:type="dxa" w:w="120"/>
            </w:tcMar>
          </w:tcPr>
          <w:p>
            <w:pPr>
              <w:jc w:val="left"/>
            </w:pPr>
            <w:r>
              <w:rPr>
                <w:b/>
                <w:bCs/>
                <w:color w:val="FFFFFF"/>
              </w:rPr>
              <w:t xml:space="preserve">Objectif</w:t>
            </w:r>
          </w:p>
        </w:tc>
        <w:tc>
          <w:tcPr>
            <w:tcW w:type="dxa" w:w="3000"/>
            <w:shd w:fill="0e8b84" w:val="clear"/>
            <w:tcMar>
              <w:top w:type="dxa" w:w="100"/>
              <w:left w:type="dxa" w:w="120"/>
              <w:bottom w:type="dxa" w:w="100"/>
              <w:right w:type="dxa" w:w="120"/>
            </w:tcMar>
          </w:tcPr>
          <w:p>
            <w:pPr>
              <w:jc w:val="left"/>
            </w:pPr>
            <w:r>
              <w:rPr>
                <w:b/>
                <w:bCs/>
                <w:color w:val="FFFFFF"/>
              </w:rPr>
              <w:t xml:space="preserve">Actions clés</w:t>
            </w:r>
          </w:p>
        </w:tc>
      </w:tr>
      <w:tr>
        <w:tc>
          <w:tcPr>
            <w:tcW w:type="dxa" w:w="1500"/>
            <w:shd w:fill="eef5f4" w:val="clear"/>
            <w:tcMar>
              <w:top w:type="dxa" w:w="100"/>
              <w:left w:type="dxa" w:w="120"/>
              <w:bottom w:type="dxa" w:w="100"/>
              <w:right w:type="dxa" w:w="120"/>
            </w:tcMar>
          </w:tcPr>
          <w:p>
            <w:pPr>
              <w:jc w:val="left"/>
            </w:pPr>
            <w:r>
              <w:rPr>
                <w:b w:val="false"/>
                <w:bCs w:val="false"/>
                <w:color w:val="FFFFFF"/>
              </w:rPr>
              <w:t xml:space="preserve">Phase 0</w:t>
            </w:r>
          </w:p>
        </w:tc>
        <w:tc>
          <w:tcPr>
            <w:tcW w:type="dxa" w:w="2100"/>
            <w:shd w:fill="eef5f4" w:val="clear"/>
            <w:tcMar>
              <w:top w:type="dxa" w:w="100"/>
              <w:left w:type="dxa" w:w="120"/>
              <w:bottom w:type="dxa" w:w="100"/>
              <w:right w:type="dxa" w:w="120"/>
            </w:tcMar>
          </w:tcPr>
          <w:p>
            <w:pPr>
              <w:jc w:val="left"/>
            </w:pPr>
            <w:r>
              <w:rPr>
                <w:b w:val="false"/>
                <w:bCs w:val="false"/>
                <w:color w:val="FFFFFF"/>
              </w:rPr>
              <w:t xml:space="preserve">En cours</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Fondations produit</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Modèle de données prêt pour le premium (niveau, badge, WhatsApp), tracking silencieux des clics, qualité des fiches Grand Baie.</w:t>
            </w:r>
          </w:p>
        </w:tc>
      </w:tr>
      <w:tr>
        <w:tc>
          <w:tcPr>
            <w:tcW w:type="dxa" w:w="1500"/>
            <w:tcMar>
              <w:top w:type="dxa" w:w="100"/>
              <w:left w:type="dxa" w:w="120"/>
              <w:bottom w:type="dxa" w:w="100"/>
              <w:right w:type="dxa" w:w="120"/>
            </w:tcMar>
          </w:tcPr>
          <w:p>
            <w:pPr>
              <w:jc w:val="left"/>
            </w:pPr>
            <w:r>
              <w:rPr>
                <w:b w:val="false"/>
                <w:bCs w:val="false"/>
              </w:rPr>
              <w:t xml:space="preserve">Phase 1</w:t>
            </w:r>
          </w:p>
        </w:tc>
        <w:tc>
          <w:tcPr>
            <w:tcW w:type="dxa" w:w="2100"/>
            <w:tcMar>
              <w:top w:type="dxa" w:w="100"/>
              <w:left w:type="dxa" w:w="120"/>
              <w:bottom w:type="dxa" w:w="100"/>
              <w:right w:type="dxa" w:w="120"/>
            </w:tcMar>
          </w:tcPr>
          <w:p>
            <w:pPr>
              <w:jc w:val="left"/>
            </w:pPr>
            <w:r>
              <w:rPr>
                <w:b w:val="false"/>
                <w:bCs w:val="false"/>
              </w:rPr>
              <w:t xml:space="preserve">12–18 mois</w:t>
            </w:r>
          </w:p>
        </w:tc>
        <w:tc>
          <w:tcPr>
            <w:tcW w:type="dxa" w:w="3000"/>
            <w:tcMar>
              <w:top w:type="dxa" w:w="100"/>
              <w:left w:type="dxa" w:w="120"/>
              <w:bottom w:type="dxa" w:w="100"/>
              <w:right w:type="dxa" w:w="120"/>
            </w:tcMar>
          </w:tcPr>
          <w:p>
            <w:pPr>
              <w:jc w:val="left"/>
            </w:pPr>
            <w:r>
              <w:rPr>
                <w:b w:val="false"/>
                <w:bCs w:val="false"/>
              </w:rPr>
              <w:t xml:space="preserve">100 % gratuit — acquisition</w:t>
            </w:r>
          </w:p>
        </w:tc>
        <w:tc>
          <w:tcPr>
            <w:tcW w:type="dxa" w:w="3000"/>
            <w:tcMar>
              <w:top w:type="dxa" w:w="100"/>
              <w:left w:type="dxa" w:w="120"/>
              <w:bottom w:type="dxa" w:w="100"/>
              <w:right w:type="dxa" w:w="120"/>
            </w:tcMar>
          </w:tcPr>
          <w:p>
            <w:pPr>
              <w:jc w:val="left"/>
            </w:pPr>
            <w:r>
              <w:rPr>
                <w:b w:val="false"/>
                <w:bCs w:val="false"/>
              </w:rPr>
              <w:t xml:space="preserve">Référencement d'établissements, avis, qualité de contenu, notoriété. Aucune pression de monétisation. Le tracking accumule la preuve de valeur en coulisses.</w:t>
            </w:r>
          </w:p>
        </w:tc>
      </w:tr>
      <w:tr>
        <w:tc>
          <w:tcPr>
            <w:tcW w:type="dxa" w:w="1500"/>
            <w:shd w:fill="eef5f4" w:val="clear"/>
            <w:tcMar>
              <w:top w:type="dxa" w:w="100"/>
              <w:left w:type="dxa" w:w="120"/>
              <w:bottom w:type="dxa" w:w="100"/>
              <w:right w:type="dxa" w:w="120"/>
            </w:tcMar>
          </w:tcPr>
          <w:p>
            <w:pPr>
              <w:jc w:val="left"/>
            </w:pPr>
            <w:r>
              <w:rPr>
                <w:b w:val="false"/>
                <w:bCs w:val="false"/>
                <w:color w:val="FFFFFF"/>
              </w:rPr>
              <w:t xml:space="preserve">Phase 2</w:t>
            </w:r>
          </w:p>
        </w:tc>
        <w:tc>
          <w:tcPr>
            <w:tcW w:type="dxa" w:w="2100"/>
            <w:shd w:fill="eef5f4" w:val="clear"/>
            <w:tcMar>
              <w:top w:type="dxa" w:w="100"/>
              <w:left w:type="dxa" w:w="120"/>
              <w:bottom w:type="dxa" w:w="100"/>
              <w:right w:type="dxa" w:w="120"/>
            </w:tcMar>
          </w:tcPr>
          <w:p>
            <w:pPr>
              <w:jc w:val="left"/>
            </w:pPr>
            <w:r>
              <w:rPr>
                <w:b w:val="false"/>
                <w:bCs w:val="false"/>
                <w:color w:val="FFFFFF"/>
              </w:rPr>
              <w:t xml:space="preserve">Dès traction mesurable</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Activation de l'offre Pro</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Ouverture du premium aux établissements, appuyée sur des statistiques réelles ("3 200 vues, 180 clics WhatsApp, 42 itinéraires").</w:t>
            </w:r>
          </w:p>
        </w:tc>
      </w:tr>
      <w:tr>
        <w:tc>
          <w:tcPr>
            <w:tcW w:type="dxa" w:w="1500"/>
            <w:tcMar>
              <w:top w:type="dxa" w:w="100"/>
              <w:left w:type="dxa" w:w="120"/>
              <w:bottom w:type="dxa" w:w="100"/>
              <w:right w:type="dxa" w:w="120"/>
            </w:tcMar>
          </w:tcPr>
          <w:p>
            <w:pPr>
              <w:jc w:val="left"/>
            </w:pPr>
            <w:r>
              <w:rPr>
                <w:b w:val="false"/>
                <w:bCs w:val="false"/>
              </w:rPr>
              <w:t xml:space="preserve">Phase 3</w:t>
            </w:r>
          </w:p>
        </w:tc>
        <w:tc>
          <w:tcPr>
            <w:tcW w:type="dxa" w:w="2100"/>
            <w:tcMar>
              <w:top w:type="dxa" w:w="100"/>
              <w:left w:type="dxa" w:w="120"/>
              <w:bottom w:type="dxa" w:w="100"/>
              <w:right w:type="dxa" w:w="120"/>
            </w:tcMar>
          </w:tcPr>
          <w:p>
            <w:pPr>
              <w:jc w:val="left"/>
            </w:pPr>
            <w:r>
              <w:rPr>
                <w:b w:val="false"/>
                <w:bCs w:val="false"/>
              </w:rPr>
              <w:t xml:space="preserve">Après validation Phase 2</w:t>
            </w:r>
          </w:p>
        </w:tc>
        <w:tc>
          <w:tcPr>
            <w:tcW w:type="dxa" w:w="3000"/>
            <w:tcMar>
              <w:top w:type="dxa" w:w="100"/>
              <w:left w:type="dxa" w:w="120"/>
              <w:bottom w:type="dxa" w:w="100"/>
              <w:right w:type="dxa" w:w="120"/>
            </w:tcMar>
          </w:tcPr>
          <w:p>
            <w:pPr>
              <w:jc w:val="left"/>
            </w:pPr>
            <w:r>
              <w:rPr>
                <w:b w:val="false"/>
                <w:bCs w:val="false"/>
              </w:rPr>
              <w:t xml:space="preserve">Diversification des revenus</w:t>
            </w:r>
          </w:p>
        </w:tc>
        <w:tc>
          <w:tcPr>
            <w:tcW w:type="dxa" w:w="3000"/>
            <w:tcMar>
              <w:top w:type="dxa" w:w="100"/>
              <w:left w:type="dxa" w:w="120"/>
              <w:bottom w:type="dxa" w:w="100"/>
              <w:right w:type="dxa" w:w="120"/>
            </w:tcMar>
          </w:tcPr>
          <w:p>
            <w:pPr>
              <w:jc w:val="left"/>
            </w:pPr>
            <w:r>
              <w:rPr>
                <w:b w:val="false"/>
                <w:bCs w:val="false"/>
              </w:rPr>
              <w:t xml:space="preserve">Commissions réservation, petites annonces premium, Pass Maurice, partenariats.</w:t>
            </w:r>
          </w:p>
        </w:tc>
      </w:tr>
      <w:tr>
        <w:tc>
          <w:tcPr>
            <w:tcW w:type="dxa" w:w="1500"/>
            <w:shd w:fill="eef5f4" w:val="clear"/>
            <w:tcMar>
              <w:top w:type="dxa" w:w="100"/>
              <w:left w:type="dxa" w:w="120"/>
              <w:bottom w:type="dxa" w:w="100"/>
              <w:right w:type="dxa" w:w="120"/>
            </w:tcMar>
          </w:tcPr>
          <w:p>
            <w:pPr>
              <w:jc w:val="left"/>
            </w:pPr>
            <w:r>
              <w:rPr>
                <w:b w:val="false"/>
                <w:bCs w:val="false"/>
                <w:color w:val="FFFFFF"/>
              </w:rPr>
              <w:t xml:space="preserve">Phase 4</w:t>
            </w:r>
          </w:p>
        </w:tc>
        <w:tc>
          <w:tcPr>
            <w:tcW w:type="dxa" w:w="2100"/>
            <w:shd w:fill="eef5f4" w:val="clear"/>
            <w:tcMar>
              <w:top w:type="dxa" w:w="100"/>
              <w:left w:type="dxa" w:w="120"/>
              <w:bottom w:type="dxa" w:w="100"/>
              <w:right w:type="dxa" w:w="120"/>
            </w:tcMar>
          </w:tcPr>
          <w:p>
            <w:pPr>
              <w:jc w:val="left"/>
            </w:pPr>
            <w:r>
              <w:rPr>
                <w:b w:val="false"/>
                <w:bCs w:val="false"/>
                <w:color w:val="FFFFFF"/>
              </w:rPr>
              <w:t xml:space="preserve">Si traction le justifie</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Extension du public</w:t>
            </w:r>
          </w:p>
        </w:tc>
        <w:tc>
          <w:tcPr>
            <w:tcW w:type="dxa" w:w="3000"/>
            <w:shd w:fill="eef5f4" w:val="clear"/>
            <w:tcMar>
              <w:top w:type="dxa" w:w="100"/>
              <w:left w:type="dxa" w:w="120"/>
              <w:bottom w:type="dxa" w:w="100"/>
              <w:right w:type="dxa" w:w="120"/>
            </w:tcMar>
          </w:tcPr>
          <w:p>
            <w:pPr>
              <w:jc w:val="left"/>
            </w:pPr>
            <w:r>
              <w:rPr>
                <w:b w:val="false"/>
                <w:bCs w:val="false"/>
                <w:color w:val="FFFFFF"/>
              </w:rPr>
              <w:t xml:space="preserve">Ouverture progressive au grand public mauricien (marché ~250 000–500 000 utilisateurs).</w:t>
            </w:r>
          </w:p>
        </w:tc>
      </w:tr>
    </w:tbl>
    <w:p>
      <w:pPr>
        <w:pStyle w:val="Heading1"/>
        <w:spacing w:after="160" w:before="360"/>
      </w:pPr>
      <w:r>
        <w:t xml:space="preserve">6. Facteurs clés de succès &amp; risques</w:t>
      </w:r>
    </w:p>
    <w:p>
      <w:pPr>
        <w:pStyle w:val="ListParagraph"/>
        <w:numPr>
          <w:ilvl w:val="0"/>
          <w:numId w:val="1"/>
        </w:numPr>
        <w:spacing w:after="80"/>
      </w:pPr>
      <w:r>
        <w:rPr>
          <w:b/>
          <w:bCs/>
        </w:rPr>
        <w:t xml:space="preserve">Le vrai défi n'est pas la taille du marché, mais l'acquisition et la fidélisation. </w:t>
      </w:r>
      <w:r>
        <w:t xml:space="preserve">Il n'existe pas encore à Maurice de plateforme devenue le réflexe quotidien des habitants et visiteurs, à la manière de Google Maps, Tripadvisor, LeBonCoin ou Yelp ailleurs — c'est l'opportunité, mais aussi le principal risque d'exécution.</w:t>
      </w:r>
    </w:p>
    <w:p>
      <w:pPr>
        <w:pStyle w:val="ListParagraph"/>
        <w:numPr>
          <w:ilvl w:val="0"/>
          <w:numId w:val="1"/>
        </w:numPr>
        <w:spacing w:after="80"/>
      </w:pPr>
      <w:r>
        <w:rPr>
          <w:b/>
          <w:bCs/>
        </w:rPr>
        <w:t xml:space="preserve">Effet réseau à construire : </w:t>
      </w:r>
      <w:r>
        <w:t xml:space="preserve">plus il y a d'utilisateurs, plus les professionnels ont intérêt à être présents, ce qui attire encore plus d'utilisateurs. C'est cet effet de plateforme qui crée une valeur durable.</w:t>
      </w:r>
    </w:p>
    <w:p>
      <w:pPr>
        <w:pStyle w:val="ListParagraph"/>
        <w:numPr>
          <w:ilvl w:val="0"/>
          <w:numId w:val="1"/>
        </w:numPr>
        <w:spacing w:after="80"/>
      </w:pPr>
      <w:r>
        <w:rPr>
          <w:b/>
          <w:bCs/>
        </w:rPr>
        <w:t xml:space="preserve">Risque de monétiser trop tôt : </w:t>
      </w:r>
      <w:r>
        <w:t xml:space="preserve">ouvrir l'offre payante avant d'avoir du trafic et des statistiques réelles à montrer aux pros affaiblit l'argument de vente et peut freiner l'acquisition côté utilisateurs.</w:t>
      </w:r>
    </w:p>
    <w:p>
      <w:pPr>
        <w:pStyle w:val="ListParagraph"/>
        <w:numPr>
          <w:ilvl w:val="0"/>
          <w:numId w:val="1"/>
        </w:numPr>
        <w:spacing w:after="80"/>
      </w:pPr>
      <w:r>
        <w:rPr>
          <w:b/>
          <w:bCs/>
        </w:rPr>
        <w:t xml:space="preserve">Qualité avant largeur : </w:t>
      </w:r>
      <w:r>
        <w:t xml:space="preserve">mieux vaut un nombre restreint de fiches complètes et vérifiées (Grand Baie) qu'une couverture large mais approximative — la crédibilité perçue se joue dès les premières visites.</w:t>
      </w:r>
    </w:p>
    <w:p>
      <w:pPr>
        <w:pStyle w:val="ListParagraph"/>
        <w:numPr>
          <w:ilvl w:val="0"/>
          <w:numId w:val="1"/>
        </w:numPr>
        <w:spacing w:after="80"/>
      </w:pPr>
      <w:r>
        <w:rPr>
          <w:b/>
          <w:bCs/>
        </w:rPr>
        <w:t xml:space="preserve">Valeur de l'engagement plutôt que du volume : </w:t>
      </w:r>
      <w:r>
        <w:t xml:space="preserve">100 000 utilisateurs très engagés peuvent valoir plus qu'un million d'utilisateurs occasionnels, si les professionnels locaux paient pour être visibles auprès d'une audience à fort pouvoir d'achat.</w:t>
      </w:r>
    </w:p>
    <w:p>
      <w:pPr>
        <w:pStyle w:val="Heading1"/>
        <w:spacing w:after="160" w:before="360"/>
      </w:pPr>
      <w:r>
        <w:t xml:space="preserve">7. Ce que ça implique pour la construction du produit</w:t>
      </w:r>
    </w:p>
    <w:p>
      <w:pPr>
        <w:pStyle w:val="ListParagraph"/>
        <w:numPr>
          <w:ilvl w:val="0"/>
          <w:numId w:val="1"/>
        </w:numPr>
        <w:spacing w:after="80"/>
      </w:pPr>
      <w:r>
        <w:rPr>
          <w:b/>
          <w:bCs/>
        </w:rPr>
        <w:t xml:space="preserve">Le modèle de données prévoit déjà le premium </w:t>
      </w:r>
      <w:r>
        <w:t xml:space="preserve">(niveau gratuit/premium, badge "Partenaire", bouton WhatsApp, texte promo) même si aucun établissement ne paie encore — pour ne pas avoir à tout refaire au moment de la commercialisation.</w:t>
      </w:r>
    </w:p>
    <w:p>
      <w:pPr>
        <w:pStyle w:val="ListParagraph"/>
        <w:numPr>
          <w:ilvl w:val="0"/>
          <w:numId w:val="1"/>
        </w:numPr>
        <w:spacing w:after="80"/>
      </w:pPr>
      <w:r>
        <w:rPr>
          <w:b/>
          <w:bCs/>
        </w:rPr>
        <w:t xml:space="preserve">Le tracking des interactions </w:t>
      </w:r>
      <w:r>
        <w:t xml:space="preserve">(appel, site, itinéraire, WhatsApp) tourne dès le lancement, silencieusement, pour construire l'argumentaire commercial (« 3 200 vues, 180 clics WhatsApp ce mois-ci ») avant même de vendre quoi que ce soit.</w:t>
      </w:r>
    </w:p>
    <w:p>
      <w:pPr>
        <w:pStyle w:val="ListParagraph"/>
        <w:numPr>
          <w:ilvl w:val="0"/>
          <w:numId w:val="1"/>
        </w:numPr>
        <w:spacing w:after="80"/>
      </w:pPr>
      <w:r>
        <w:rPr>
          <w:b/>
          <w:bCs/>
        </w:rPr>
        <w:t xml:space="preserve">Prioriser la qualité et l'exhaustivité des fiches existantes </w:t>
      </w:r>
      <w:r>
        <w:t xml:space="preserve">(finir la classification des restaurants en attente) avant d'élargir la couverture géographique ou le nombre de catégories.</w:t>
      </w:r>
    </w:p>
    <w:p>
      <w:pPr>
        <w:pStyle w:val="ListParagraph"/>
        <w:numPr>
          <w:ilvl w:val="0"/>
          <w:numId w:val="1"/>
        </w:numPr>
        <w:spacing w:after="80"/>
      </w:pPr>
      <w:r>
        <w:rPr>
          <w:b/>
          <w:bCs/>
        </w:rPr>
        <w:t xml:space="preserve">Ne pas construire trop tôt </w:t>
      </w:r>
      <w:r>
        <w:t xml:space="preserve">l'authentification pro, le paiement ou le tableau de bord de statistiques — attendre d'avoir une audience mesurable à présenter à un premier groupe d'établissements pilotes.</w:t>
      </w:r>
    </w:p>
    <w:p>
      <w:pPr>
        <w:pStyle w:val="Heading1"/>
        <w:spacing w:after="160" w:before="360"/>
      </w:pPr>
      <w:r>
        <w:t xml:space="preserve">8. Prochaines étapes concrètes</w:t>
      </w:r>
    </w:p>
    <w:p>
      <w:pPr>
        <w:pStyle w:val="ListParagraph"/>
        <w:numPr>
          <w:ilvl w:val="0"/>
          <w:numId w:val="1"/>
        </w:numPr>
        <w:spacing w:after="80"/>
      </w:pPr>
      <w:r>
        <w:t xml:space="preserve">Terminer la classification des restaurants en attente (fichier de curation en cours).</w:t>
      </w:r>
    </w:p>
    <w:p>
      <w:pPr>
        <w:pStyle w:val="ListParagraph"/>
        <w:numPr>
          <w:ilvl w:val="0"/>
          <w:numId w:val="1"/>
        </w:numPr>
        <w:spacing w:after="80"/>
      </w:pPr>
      <w:r>
        <w:t xml:space="preserve">Lancer publiquement la version gratuite et mesurer l'usage réel pendant 3 à 6 mois.</w:t>
      </w:r>
    </w:p>
    <w:p>
      <w:pPr>
        <w:pStyle w:val="ListParagraph"/>
        <w:numPr>
          <w:ilvl w:val="0"/>
          <w:numId w:val="1"/>
        </w:numPr>
        <w:spacing w:after="80"/>
      </w:pPr>
      <w:r>
        <w:t xml:space="preserve">Identifier 10 à 20 établissements pilotes pour tester l'offre premium avant une ouverture large.</w:t>
      </w:r>
    </w:p>
    <w:p>
      <w:pPr>
        <w:pStyle w:val="ListParagraph"/>
        <w:numPr>
          <w:ilvl w:val="0"/>
          <w:numId w:val="1"/>
        </w:numPr>
        <w:spacing w:after="80"/>
      </w:pPr>
      <w:r>
        <w:t xml:space="preserve">Créer le projet Supabase et brancher le suivi des statistiques quand le volume de trafic le justifie.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0e8b84"/>
      <w:sz w:val="30"/>
      <w:szCs w:val="30"/>
    </w:rPr>
  </w:style>
  <w:style w:type="paragraph" w:styleId="Heading2">
    <w:name w:val="Heading 2"/>
    <w:basedOn w:val="Normal"/>
    <w:next w:val="Normal"/>
    <w:qFormat/>
    <w:pPr>
      <w:spacing w:after="120" w:before="260"/>
    </w:pPr>
    <w:rPr>
      <w:b/>
      <w:bCs/>
      <w:color w:val="1a2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2026-07-10T14:03:27.735Z</dcterms:created>
  <dcterms:modified xsi:type="dcterms:W3CDTF">2026-07-10T14:03:27.740Z</dcterms:modified>
</cp:coreProperties>
</file>

<file path=docProps/custom.xml><?xml version="1.0" encoding="utf-8"?>
<Properties xmlns="http://schemas.openxmlformats.org/officeDocument/2006/custom-properties" xmlns:vt="http://schemas.openxmlformats.org/officeDocument/2006/docPropsVTypes"/>
</file>