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8b84"/>
          <w:sz w:val="56"/>
          <w:szCs w:val="56"/>
        </w:rPr>
        <w:t xml:space="preserve">Maurice+</w:t>
      </w:r>
    </w:p>
    <w:p>
      <w:pPr>
        <w:spacing w:after="40"/>
      </w:pPr>
      <w:r>
        <w:rPr>
          <w:color w:val="5b6b6a"/>
          <w:sz w:val="28"/>
          <w:szCs w:val="28"/>
        </w:rPr>
        <w:t xml:space="preserve">Stratégie commerciale &amp; estimations de rentabilité</w:t>
      </w:r>
    </w:p>
    <w:p>
      <w:pPr>
        <w:spacing w:after="300"/>
      </w:pPr>
      <w:r>
        <w:rPr>
          <w:i/>
          <w:iCs/>
          <w:color w:val="5b6b6a"/>
          <w:sz w:val="20"/>
          <w:szCs w:val="20"/>
        </w:rPr>
        <w:t xml:space="preserve">Document de pitch — cible expatriés &amp; touristes européens à Maurice — 11 juillet 2026</w:t>
      </w:r>
    </w:p>
    <w:p>
      <w:pPr>
        <w:pBdr>
          <w:bottom w:val="single" w:color="cccccc" w:sz="6"/>
        </w:pBdr>
        <w:spacing w:after="200"/>
      </w:pPr>
    </w:p>
    <w:p>
      <w:pPr>
        <w:spacing w:after="160"/>
      </w:pPr>
      <w:r>
        <w:t xml:space="preserve">Maurice+ vise en priorité les expatriés et touristes européens/francophones présents à l'île Maurice : un public plus restreint que la population mauricienne, mais homogène, à fort pouvoir d'achat et avec un besoin récurrent. Le modèle de revenu repose sur l'abonnement payant des établissements (restaurants, activités, services) qui souhaitent être mis en avant auprès de cette audience — pas sur la publicité ou les frais aux utilisateurs finaux.</w:t>
      </w:r>
    </w:p>
    <w:p>
      <w:pPr>
        <w:pStyle w:val="Heading1"/>
        <w:spacing w:after="160" w:before="360"/>
      </w:pPr>
      <w:r>
        <w:t xml:space="preserve">1. Stratégie de déploiement commercial</w:t>
      </w:r>
    </w:p>
    <w:p>
      <w:pPr>
        <w:spacing w:after="160"/>
      </w:pPr>
      <w:r>
        <w:t xml:space="preserve">Le déploiement se fait en 4 phases, sans budget marketing lourd : l'acquisition s'appuie sur des partenariats (hôtels, offices de tourisme, agences) et des communautés déjà constituées (groupes Facebook d'expatriés), pas sur de la publicité payante.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3800"/>
      </w:tblGrid>
      <w:tr>
        <w:trPr>
          <w:tblHeader/>
        </w:trPr>
        <w:tc>
          <w:tcPr>
            <w:tcW w:type="dxa" w:w="1500"/>
            <w:shd w:fill="0e8b84" w:val="clear"/>
            <w:tcMar>
              <w:top w:type="dxa" w:w="100"/>
              <w:left w:type="dxa" w:w="120"/>
              <w:bottom w:type="dxa" w:w="100"/>
              <w:right w:type="dxa" w:w="120"/>
            </w:tcMar>
          </w:tcPr>
          <w:p>
            <w:pPr>
              <w:jc w:val="left"/>
            </w:pPr>
            <w:r>
              <w:rPr>
                <w:b/>
                <w:bCs/>
                <w:color w:val="FFFFFF"/>
              </w:rPr>
              <w:t xml:space="preserve">Phase</w:t>
            </w:r>
          </w:p>
        </w:tc>
        <w:tc>
          <w:tcPr>
            <w:tcW w:type="dxa" w:w="1700"/>
            <w:shd w:fill="0e8b84" w:val="clear"/>
            <w:tcMar>
              <w:top w:type="dxa" w:w="100"/>
              <w:left w:type="dxa" w:w="120"/>
              <w:bottom w:type="dxa" w:w="100"/>
              <w:right w:type="dxa" w:w="120"/>
            </w:tcMar>
          </w:tcPr>
          <w:p>
            <w:pPr>
              <w:jc w:val="left"/>
            </w:pPr>
            <w:r>
              <w:rPr>
                <w:b/>
                <w:bCs/>
                <w:color w:val="FFFFFF"/>
              </w:rPr>
              <w:t xml:space="preserve">Échéance</w:t>
            </w:r>
          </w:p>
        </w:tc>
        <w:tc>
          <w:tcPr>
            <w:tcW w:type="dxa" w:w="2600"/>
            <w:shd w:fill="0e8b84" w:val="clear"/>
            <w:tcMar>
              <w:top w:type="dxa" w:w="100"/>
              <w:left w:type="dxa" w:w="120"/>
              <w:bottom w:type="dxa" w:w="100"/>
              <w:right w:type="dxa" w:w="120"/>
            </w:tcMar>
          </w:tcPr>
          <w:p>
            <w:pPr>
              <w:jc w:val="left"/>
            </w:pPr>
            <w:r>
              <w:rPr>
                <w:b/>
                <w:bCs/>
                <w:color w:val="FFFFFF"/>
              </w:rPr>
              <w:t xml:space="preserve">Objectif</w:t>
            </w:r>
          </w:p>
        </w:tc>
        <w:tc>
          <w:tcPr>
            <w:tcW w:type="dxa" w:w="3800"/>
            <w:shd w:fill="0e8b84" w:val="clear"/>
            <w:tcMar>
              <w:top w:type="dxa" w:w="100"/>
              <w:left w:type="dxa" w:w="120"/>
              <w:bottom w:type="dxa" w:w="100"/>
              <w:right w:type="dxa" w:w="120"/>
            </w:tcMar>
          </w:tcPr>
          <w:p>
            <w:pPr>
              <w:jc w:val="left"/>
            </w:pPr>
            <w:r>
              <w:rPr>
                <w:b/>
                <w:bCs/>
                <w:color w:val="FFFFFF"/>
              </w:rPr>
              <w:t xml:space="preserve">Actions clés &amp; canaux</w:t>
            </w:r>
          </w:p>
        </w:tc>
      </w:tr>
      <w:tr>
        <w:tc>
          <w:tcPr>
            <w:tcW w:type="dxa" w:w="1500"/>
            <w:shd w:fill="eef5f4" w:val="clear"/>
            <w:tcMar>
              <w:top w:type="dxa" w:w="100"/>
              <w:left w:type="dxa" w:w="120"/>
              <w:bottom w:type="dxa" w:w="100"/>
              <w:right w:type="dxa" w:w="120"/>
            </w:tcMar>
          </w:tcPr>
          <w:p>
            <w:pPr>
              <w:jc w:val="left"/>
            </w:pPr>
            <w:r>
              <w:rPr>
                <w:b w:val="false"/>
                <w:bCs w:val="false"/>
              </w:rPr>
              <w:t xml:space="preserve">Phase 1 — Lancement</w:t>
            </w:r>
          </w:p>
        </w:tc>
        <w:tc>
          <w:tcPr>
            <w:tcW w:type="dxa" w:w="1700"/>
            <w:shd w:fill="eef5f4" w:val="clear"/>
            <w:tcMar>
              <w:top w:type="dxa" w:w="100"/>
              <w:left w:type="dxa" w:w="120"/>
              <w:bottom w:type="dxa" w:w="100"/>
              <w:right w:type="dxa" w:w="120"/>
            </w:tcMar>
          </w:tcPr>
          <w:p>
            <w:pPr>
              <w:jc w:val="left"/>
            </w:pPr>
            <w:r>
              <w:rPr>
                <w:b w:val="false"/>
                <w:bCs w:val="false"/>
              </w:rPr>
              <w:t xml:space="preserve">T3 2026 → T4 2027 (18 mois)</w:t>
            </w:r>
          </w:p>
        </w:tc>
        <w:tc>
          <w:tcPr>
            <w:tcW w:type="dxa" w:w="2600"/>
            <w:shd w:fill="eef5f4" w:val="clear"/>
            <w:tcMar>
              <w:top w:type="dxa" w:w="100"/>
              <w:left w:type="dxa" w:w="120"/>
              <w:bottom w:type="dxa" w:w="100"/>
              <w:right w:type="dxa" w:w="120"/>
            </w:tcMar>
          </w:tcPr>
          <w:p>
            <w:pPr>
              <w:jc w:val="left"/>
            </w:pPr>
            <w:r>
              <w:rPr>
                <w:b w:val="false"/>
                <w:bCs w:val="false"/>
              </w:rPr>
              <w:t xml:space="preserve">100 % gratuit. Acquisition &amp; qualité, zone pilote Grand Baie.</w:t>
            </w:r>
          </w:p>
        </w:tc>
        <w:tc>
          <w:tcPr>
            <w:tcW w:type="dxa" w:w="3800"/>
            <w:shd w:fill="eef5f4" w:val="clear"/>
            <w:tcMar>
              <w:top w:type="dxa" w:w="100"/>
              <w:left w:type="dxa" w:w="120"/>
              <w:bottom w:type="dxa" w:w="100"/>
              <w:right w:type="dxa" w:w="120"/>
            </w:tcMar>
          </w:tcPr>
          <w:p>
            <w:pPr>
              <w:jc w:val="left"/>
            </w:pPr>
            <w:r>
              <w:rPr>
                <w:b w:val="false"/>
                <w:bCs w:val="false"/>
              </w:rPr>
              <w:t xml:space="preserve">Référencement exhaustif des établissements du Nord ; partenariats non-payants avec hôtels, offices de tourisme, groupes Facebook d'expatriés ; bouche-à-oreille communauté française. Tracking silencieux des interactions.</w:t>
            </w:r>
          </w:p>
        </w:tc>
      </w:tr>
      <w:tr>
        <w:tc>
          <w:tcPr>
            <w:tcW w:type="dxa" w:w="1500"/>
            <w:tcMar>
              <w:top w:type="dxa" w:w="100"/>
              <w:left w:type="dxa" w:w="120"/>
              <w:bottom w:type="dxa" w:w="100"/>
              <w:right w:type="dxa" w:w="120"/>
            </w:tcMar>
          </w:tcPr>
          <w:p>
            <w:pPr>
              <w:jc w:val="left"/>
            </w:pPr>
            <w:r>
              <w:rPr>
                <w:b w:val="false"/>
                <w:bCs w:val="false"/>
              </w:rPr>
              <w:t xml:space="preserve">Phase 2 — Activation Pro</w:t>
            </w:r>
          </w:p>
        </w:tc>
        <w:tc>
          <w:tcPr>
            <w:tcW w:type="dxa" w:w="1700"/>
            <w:tcMar>
              <w:top w:type="dxa" w:w="100"/>
              <w:left w:type="dxa" w:w="120"/>
              <w:bottom w:type="dxa" w:w="100"/>
              <w:right w:type="dxa" w:w="120"/>
            </w:tcMar>
          </w:tcPr>
          <w:p>
            <w:pPr>
              <w:jc w:val="left"/>
            </w:pPr>
            <w:r>
              <w:rPr>
                <w:b w:val="false"/>
                <w:bCs w:val="false"/>
              </w:rPr>
              <w:t xml:space="preserve">2028</w:t>
            </w:r>
          </w:p>
        </w:tc>
        <w:tc>
          <w:tcPr>
            <w:tcW w:type="dxa" w:w="2600"/>
            <w:tcMar>
              <w:top w:type="dxa" w:w="100"/>
              <w:left w:type="dxa" w:w="120"/>
              <w:bottom w:type="dxa" w:w="100"/>
              <w:right w:type="dxa" w:w="120"/>
            </w:tcMar>
          </w:tcPr>
          <w:p>
            <w:pPr>
              <w:jc w:val="left"/>
            </w:pPr>
            <w:r>
              <w:rPr>
                <w:b w:val="false"/>
                <w:bCs w:val="false"/>
              </w:rPr>
              <w:t xml:space="preserve">Premiers revenus. Preuve de valeur par les statistiques accumulées.</w:t>
            </w:r>
          </w:p>
        </w:tc>
        <w:tc>
          <w:tcPr>
            <w:tcW w:type="dxa" w:w="3800"/>
            <w:tcMar>
              <w:top w:type="dxa" w:w="100"/>
              <w:left w:type="dxa" w:w="120"/>
              <w:bottom w:type="dxa" w:w="100"/>
              <w:right w:type="dxa" w:w="120"/>
            </w:tcMar>
          </w:tcPr>
          <w:p>
            <w:pPr>
              <w:jc w:val="left"/>
            </w:pPr>
            <w:r>
              <w:rPr>
                <w:b w:val="false"/>
                <w:bCs w:val="false"/>
              </w:rPr>
              <w:t xml:space="preserve">Démarchage direct de 10–20 établissements pilotes (offre de lancement), argumentaire basé sur les vraies stats de clics/vues, mise en place du paiement (Stripe).</w:t>
            </w:r>
          </w:p>
        </w:tc>
      </w:tr>
      <w:tr>
        <w:tc>
          <w:tcPr>
            <w:tcW w:type="dxa" w:w="1500"/>
            <w:shd w:fill="eef5f4" w:val="clear"/>
            <w:tcMar>
              <w:top w:type="dxa" w:w="100"/>
              <w:left w:type="dxa" w:w="120"/>
              <w:bottom w:type="dxa" w:w="100"/>
              <w:right w:type="dxa" w:w="120"/>
            </w:tcMar>
          </w:tcPr>
          <w:p>
            <w:pPr>
              <w:jc w:val="left"/>
            </w:pPr>
            <w:r>
              <w:rPr>
                <w:b w:val="false"/>
                <w:bCs w:val="false"/>
              </w:rPr>
              <w:t xml:space="preserve">Phase 3 — Montée en charge</w:t>
            </w:r>
          </w:p>
        </w:tc>
        <w:tc>
          <w:tcPr>
            <w:tcW w:type="dxa" w:w="1700"/>
            <w:shd w:fill="eef5f4" w:val="clear"/>
            <w:tcMar>
              <w:top w:type="dxa" w:w="100"/>
              <w:left w:type="dxa" w:w="120"/>
              <w:bottom w:type="dxa" w:w="100"/>
              <w:right w:type="dxa" w:w="120"/>
            </w:tcMar>
          </w:tcPr>
          <w:p>
            <w:pPr>
              <w:jc w:val="left"/>
            </w:pPr>
            <w:r>
              <w:rPr>
                <w:b w:val="false"/>
                <w:bCs w:val="false"/>
              </w:rPr>
              <w:t xml:space="preserve">2029</w:t>
            </w:r>
          </w:p>
        </w:tc>
        <w:tc>
          <w:tcPr>
            <w:tcW w:type="dxa" w:w="2600"/>
            <w:shd w:fill="eef5f4" w:val="clear"/>
            <w:tcMar>
              <w:top w:type="dxa" w:w="100"/>
              <w:left w:type="dxa" w:w="120"/>
              <w:bottom w:type="dxa" w:w="100"/>
              <w:right w:type="dxa" w:w="120"/>
            </w:tcMar>
          </w:tcPr>
          <w:p>
            <w:pPr>
              <w:jc w:val="left"/>
            </w:pPr>
            <w:r>
              <w:rPr>
                <w:b w:val="false"/>
                <w:bCs w:val="false"/>
              </w:rPr>
              <w:t xml:space="preserve">Structurer la vente, étendre la couverture géographique.</w:t>
            </w:r>
          </w:p>
        </w:tc>
        <w:tc>
          <w:tcPr>
            <w:tcW w:type="dxa" w:w="3800"/>
            <w:shd w:fill="eef5f4" w:val="clear"/>
            <w:tcMar>
              <w:top w:type="dxa" w:w="100"/>
              <w:left w:type="dxa" w:w="120"/>
              <w:bottom w:type="dxa" w:w="100"/>
              <w:right w:type="dxa" w:w="120"/>
            </w:tcMar>
          </w:tcPr>
          <w:p>
            <w:pPr>
              <w:jc w:val="left"/>
            </w:pPr>
            <w:r>
              <w:rPr>
                <w:b w:val="false"/>
                <w:bCs w:val="false"/>
              </w:rPr>
              <w:t xml:space="preserve">Extension côte ouest/sud (Tamarin, Flic-en-Flac) ; process de vente répétable ; éventuel recrutement d'une personne à temps partiel (curation + prospection).</w:t>
            </w:r>
          </w:p>
        </w:tc>
      </w:tr>
      <w:tr>
        <w:tc>
          <w:tcPr>
            <w:tcW w:type="dxa" w:w="1500"/>
            <w:tcMar>
              <w:top w:type="dxa" w:w="100"/>
              <w:left w:type="dxa" w:w="120"/>
              <w:bottom w:type="dxa" w:w="100"/>
              <w:right w:type="dxa" w:w="120"/>
            </w:tcMar>
          </w:tcPr>
          <w:p>
            <w:pPr>
              <w:jc w:val="left"/>
            </w:pPr>
            <w:r>
              <w:rPr>
                <w:b w:val="false"/>
                <w:bCs w:val="false"/>
              </w:rPr>
              <w:t xml:space="preserve">Phase 4 — Diversification</w:t>
            </w:r>
          </w:p>
        </w:tc>
        <w:tc>
          <w:tcPr>
            <w:tcW w:type="dxa" w:w="1700"/>
            <w:tcMar>
              <w:top w:type="dxa" w:w="100"/>
              <w:left w:type="dxa" w:w="120"/>
              <w:bottom w:type="dxa" w:w="100"/>
              <w:right w:type="dxa" w:w="120"/>
            </w:tcMar>
          </w:tcPr>
          <w:p>
            <w:pPr>
              <w:jc w:val="left"/>
            </w:pPr>
            <w:r>
              <w:rPr>
                <w:b w:val="false"/>
                <w:bCs w:val="false"/>
              </w:rPr>
              <w:t xml:space="preserve">2030 et +</w:t>
            </w:r>
          </w:p>
        </w:tc>
        <w:tc>
          <w:tcPr>
            <w:tcW w:type="dxa" w:w="2600"/>
            <w:tcMar>
              <w:top w:type="dxa" w:w="100"/>
              <w:left w:type="dxa" w:w="120"/>
              <w:bottom w:type="dxa" w:w="100"/>
              <w:right w:type="dxa" w:w="120"/>
            </w:tcMar>
          </w:tcPr>
          <w:p>
            <w:pPr>
              <w:jc w:val="left"/>
            </w:pPr>
            <w:r>
              <w:rPr>
                <w:b w:val="false"/>
                <w:bCs w:val="false"/>
              </w:rPr>
              <w:t xml:space="preserve">Consolider la rentabilité, ouvrir de nouvelles sources de revenus.</w:t>
            </w:r>
          </w:p>
        </w:tc>
        <w:tc>
          <w:tcPr>
            <w:tcW w:type="dxa" w:w="3800"/>
            <w:tcMar>
              <w:top w:type="dxa" w:w="100"/>
              <w:left w:type="dxa" w:w="120"/>
              <w:bottom w:type="dxa" w:w="100"/>
              <w:right w:type="dxa" w:w="120"/>
            </w:tcMar>
          </w:tcPr>
          <w:p>
            <w:pPr>
              <w:jc w:val="left"/>
            </w:pPr>
            <w:r>
              <w:rPr>
                <w:b w:val="false"/>
                <w:bCs w:val="false"/>
              </w:rPr>
              <w:t xml:space="preserve">Commissions sur réservations, "Pass Maurice" pour les utilisateurs fidèles, partenariats B2B2C (agences immobilières, assurances, télécoms).</w:t>
            </w:r>
          </w:p>
        </w:tc>
      </w:tr>
    </w:tbl>
    <w:p>
      <w:pPr>
        <w:pStyle w:val="Heading1"/>
        <w:spacing w:after="160" w:before="360"/>
      </w:pPr>
      <w:r>
        <w:t xml:space="preserve">2. Estimations de rentabilité</w:t>
      </w:r>
    </w:p>
    <w:p>
      <w:pPr>
        <w:pStyle w:val="Heading2"/>
        <w:spacing w:after="120" w:before="260"/>
      </w:pPr>
      <w:r>
        <w:t xml:space="preserve">Hypothèses clés</w:t>
      </w:r>
    </w:p>
    <w:p>
      <w:pPr>
        <w:pStyle w:val="ListParagraph"/>
        <w:numPr>
          <w:ilvl w:val="0"/>
          <w:numId w:val="1"/>
        </w:numPr>
        <w:spacing w:after="80"/>
      </w:pPr>
      <w:r>
        <w:rPr>
          <w:b/>
          <w:bCs/>
        </w:rPr>
        <w:t xml:space="preserve">Prix moyen de l'abonnement Pro : </w:t>
      </w:r>
      <w:r>
        <w:t xml:space="preserve">30 €/mois (milieu de la fourchette 20–50 €).</w:t>
      </w:r>
    </w:p>
    <w:p>
      <w:pPr>
        <w:pStyle w:val="ListParagraph"/>
        <w:numPr>
          <w:ilvl w:val="0"/>
          <w:numId w:val="1"/>
        </w:numPr>
        <w:spacing w:after="80"/>
      </w:pPr>
      <w:r>
        <w:rPr>
          <w:b/>
          <w:bCs/>
        </w:rPr>
        <w:t xml:space="preserve">Taux de conversion établissement gratuit → payant : </w:t>
      </w:r>
      <w:r>
        <w:t xml:space="preserve">5 à 15 % de la base référencée une fois l'offre activée (Phase 2+), cohérent avec les annuaires B2B freemium comparables.</w:t>
      </w:r>
    </w:p>
    <w:p>
      <w:pPr>
        <w:pStyle w:val="ListParagraph"/>
        <w:numPr>
          <w:ilvl w:val="0"/>
          <w:numId w:val="1"/>
        </w:numPr>
        <w:spacing w:after="80"/>
      </w:pPr>
      <w:r>
        <w:rPr>
          <w:b/>
          <w:bCs/>
        </w:rPr>
        <w:t xml:space="preserve">Revenu compté ici : </w:t>
      </w:r>
      <w:r>
        <w:t xml:space="preserve">abonnements Pro uniquement — le moteur principal. Commissions, "Pass Maurice" et partenariats (Phase 4) sont un potentiel additionnel non comptabilisé ci-dessous, pour rester prudent.</w:t>
      </w:r>
    </w:p>
    <w:p>
      <w:pPr>
        <w:pStyle w:val="ListParagraph"/>
        <w:numPr>
          <w:ilvl w:val="0"/>
          <w:numId w:val="1"/>
        </w:numPr>
        <w:spacing w:after="80"/>
      </w:pPr>
      <w:r>
        <w:rPr>
          <w:b/>
          <w:bCs/>
        </w:rPr>
        <w:t xml:space="preserve">Coûts estimés : </w:t>
      </w:r>
      <w:r>
        <w:t xml:space="preserve">infrastructure (Supabase/Vercel), frais de paiement (Stripe ≈ 2 %), et à partir de la Phase 3 un temps partiel dédié à la prospection/curation. Pas de salaire fondateur compté.</w:t>
      </w:r>
    </w:p>
    <w:p>
      <w:pPr>
        <w:pStyle w:val="Heading2"/>
        <w:spacing w:after="120" w:before="260"/>
      </w:pPr>
      <w:r>
        <w:t xml:space="preserve">Projection par phase</w:t>
      </w:r>
    </w:p>
    <w:p>
      <w:pPr>
        <w:spacing w:after="160"/>
      </w:pPr>
      <w:r>
        <w:rPr>
          <w:i/>
          <w:iCs/>
          <w:color w:val="5b6b6a"/>
          <w:sz w:val="20"/>
          <w:szCs w:val="20"/>
        </w:rPr>
        <w:t xml:space="preserve">MRR = revenu mensuel récurrent en fin de phase. ARR = ce MRR annualisé (12×), utilisé comme indicateur de rythme — le revenu réellement encaissé pendant l'année de montée en charge est inférieur à l'ARR affiché, car les abonnés s'ajoutent progressivement.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600"/>
        <w:gridCol w:w="1600"/>
        <w:gridCol w:w="1600"/>
      </w:tblGrid>
      <w:tr>
        <w:trPr>
          <w:tblHeader/>
        </w:trPr>
        <w:tc>
          <w:tcPr>
            <w:tcW w:type="dxa" w:w="1500"/>
            <w:shd w:fill="0e8b84" w:val="clear"/>
            <w:tcMar>
              <w:top w:type="dxa" w:w="100"/>
              <w:left w:type="dxa" w:w="120"/>
              <w:bottom w:type="dxa" w:w="100"/>
              <w:right w:type="dxa" w:w="120"/>
            </w:tcMar>
          </w:tcPr>
          <w:p>
            <w:pPr>
              <w:jc w:val="left"/>
            </w:pPr>
            <w:r>
              <w:rPr>
                <w:b/>
                <w:bCs/>
                <w:color w:val="FFFFFF"/>
              </w:rPr>
              <w:t xml:space="preserve">Phase (fin de période)</w:t>
            </w:r>
          </w:p>
        </w:tc>
        <w:tc>
          <w:tcPr>
            <w:tcW w:type="dxa" w:w="1700"/>
            <w:shd w:fill="0e8b84" w:val="clear"/>
            <w:tcMar>
              <w:top w:type="dxa" w:w="100"/>
              <w:left w:type="dxa" w:w="120"/>
              <w:bottom w:type="dxa" w:w="100"/>
              <w:right w:type="dxa" w:w="120"/>
            </w:tcMar>
          </w:tcPr>
          <w:p>
            <w:pPr>
              <w:jc w:val="left"/>
            </w:pPr>
            <w:r>
              <w:rPr>
                <w:b/>
                <w:bCs/>
                <w:color w:val="FFFFFF"/>
              </w:rPr>
              <w:t xml:space="preserve">Abonnés Pro</w:t>
            </w:r>
          </w:p>
        </w:tc>
        <w:tc>
          <w:tcPr>
            <w:tcW w:type="dxa" w:w="1600"/>
            <w:shd w:fill="0e8b84" w:val="clear"/>
            <w:tcMar>
              <w:top w:type="dxa" w:w="100"/>
              <w:left w:type="dxa" w:w="120"/>
              <w:bottom w:type="dxa" w:w="100"/>
              <w:right w:type="dxa" w:w="120"/>
            </w:tcMar>
          </w:tcPr>
          <w:p>
            <w:pPr>
              <w:jc w:val="left"/>
            </w:pPr>
            <w:r>
              <w:rPr>
                <w:b/>
                <w:bCs/>
                <w:color w:val="FFFFFF"/>
              </w:rPr>
              <w:t xml:space="preserve">MRR*</w:t>
            </w:r>
          </w:p>
        </w:tc>
        <w:tc>
          <w:tcPr>
            <w:tcW w:type="dxa" w:w="1600"/>
            <w:shd w:fill="0e8b84" w:val="clear"/>
            <w:tcMar>
              <w:top w:type="dxa" w:w="100"/>
              <w:left w:type="dxa" w:w="120"/>
              <w:bottom w:type="dxa" w:w="100"/>
              <w:right w:type="dxa" w:w="120"/>
            </w:tcMar>
          </w:tcPr>
          <w:p>
            <w:pPr>
              <w:jc w:val="left"/>
            </w:pPr>
            <w:r>
              <w:rPr>
                <w:b/>
                <w:bCs/>
                <w:color w:val="FFFFFF"/>
              </w:rPr>
              <w:t xml:space="preserve">ARR**</w:t>
            </w:r>
          </w:p>
        </w:tc>
        <w:tc>
          <w:tcPr>
            <w:tcW w:type="dxa" w:w="1600"/>
            <w:shd w:fill="0e8b84" w:val="clear"/>
            <w:tcMar>
              <w:top w:type="dxa" w:w="100"/>
              <w:left w:type="dxa" w:w="120"/>
              <w:bottom w:type="dxa" w:w="100"/>
              <w:right w:type="dxa" w:w="120"/>
            </w:tcMar>
          </w:tcPr>
          <w:p>
            <w:pPr>
              <w:jc w:val="left"/>
            </w:pPr>
            <w:r>
              <w:rPr>
                <w:b/>
                <w:bCs/>
                <w:color w:val="FFFFFF"/>
              </w:rPr>
              <w:t xml:space="preserve">Coûts annuels</w:t>
            </w:r>
          </w:p>
        </w:tc>
        <w:tc>
          <w:tcPr>
            <w:tcW w:type="dxa" w:w="1600"/>
            <w:shd w:fill="0e8b84" w:val="clear"/>
            <w:tcMar>
              <w:top w:type="dxa" w:w="100"/>
              <w:left w:type="dxa" w:w="120"/>
              <w:bottom w:type="dxa" w:w="100"/>
              <w:right w:type="dxa" w:w="120"/>
            </w:tcMar>
          </w:tcPr>
          <w:p>
            <w:pPr>
              <w:jc w:val="left"/>
            </w:pPr>
            <w:r>
              <w:rPr>
                <w:b/>
                <w:bCs/>
                <w:color w:val="FFFFFF"/>
              </w:rPr>
              <w:t xml:space="preserve">Résultat net</w:t>
            </w:r>
          </w:p>
        </w:tc>
      </w:tr>
      <w:tr>
        <w:tc>
          <w:tcPr>
            <w:tcW w:type="dxa" w:w="1500"/>
            <w:shd w:fill="eef5f4" w:val="clear"/>
            <w:tcMar>
              <w:top w:type="dxa" w:w="100"/>
              <w:left w:type="dxa" w:w="120"/>
              <w:bottom w:type="dxa" w:w="100"/>
              <w:right w:type="dxa" w:w="120"/>
            </w:tcMar>
          </w:tcPr>
          <w:p>
            <w:pPr>
              <w:jc w:val="left"/>
            </w:pPr>
            <w:r>
              <w:rPr>
                <w:b w:val="false"/>
                <w:bCs w:val="false"/>
              </w:rPr>
              <w:t xml:space="preserve">Phase 1 — fin 2027</w:t>
            </w:r>
          </w:p>
        </w:tc>
        <w:tc>
          <w:tcPr>
            <w:tcW w:type="dxa" w:w="1700"/>
            <w:shd w:fill="eef5f4" w:val="clear"/>
            <w:tcMar>
              <w:top w:type="dxa" w:w="100"/>
              <w:left w:type="dxa" w:w="120"/>
              <w:bottom w:type="dxa" w:w="100"/>
              <w:right w:type="dxa" w:w="120"/>
            </w:tcMar>
          </w:tcPr>
          <w:p>
            <w:pPr>
              <w:jc w:val="left"/>
            </w:pPr>
            <w:r>
              <w:rPr>
                <w:b w:val="false"/>
                <w:bCs w:val="false"/>
              </w:rPr>
              <w:t xml:space="preserve">0</w:t>
            </w:r>
          </w:p>
        </w:tc>
        <w:tc>
          <w:tcPr>
            <w:tcW w:type="dxa" w:w="1600"/>
            <w:shd w:fill="eef5f4" w:val="clear"/>
            <w:tcMar>
              <w:top w:type="dxa" w:w="100"/>
              <w:left w:type="dxa" w:w="120"/>
              <w:bottom w:type="dxa" w:w="100"/>
              <w:right w:type="dxa" w:w="120"/>
            </w:tcMar>
          </w:tcPr>
          <w:p>
            <w:pPr>
              <w:jc w:val="left"/>
            </w:pPr>
            <w:r>
              <w:rPr>
                <w:b w:val="false"/>
                <w:bCs w:val="false"/>
              </w:rPr>
              <w:t xml:space="preserve">0 €</w:t>
            </w:r>
          </w:p>
        </w:tc>
        <w:tc>
          <w:tcPr>
            <w:tcW w:type="dxa" w:w="1600"/>
            <w:shd w:fill="eef5f4" w:val="clear"/>
            <w:tcMar>
              <w:top w:type="dxa" w:w="100"/>
              <w:left w:type="dxa" w:w="120"/>
              <w:bottom w:type="dxa" w:w="100"/>
              <w:right w:type="dxa" w:w="120"/>
            </w:tcMar>
          </w:tcPr>
          <w:p>
            <w:pPr>
              <w:jc w:val="left"/>
            </w:pPr>
            <w:r>
              <w:rPr>
                <w:b w:val="false"/>
                <w:bCs w:val="false"/>
              </w:rPr>
              <w:t xml:space="preserve">0 €</w:t>
            </w:r>
          </w:p>
        </w:tc>
        <w:tc>
          <w:tcPr>
            <w:tcW w:type="dxa" w:w="1600"/>
            <w:shd w:fill="eef5f4" w:val="clear"/>
            <w:tcMar>
              <w:top w:type="dxa" w:w="100"/>
              <w:left w:type="dxa" w:w="120"/>
              <w:bottom w:type="dxa" w:w="100"/>
              <w:right w:type="dxa" w:w="120"/>
            </w:tcMar>
          </w:tcPr>
          <w:p>
            <w:pPr>
              <w:jc w:val="left"/>
            </w:pPr>
            <w:r>
              <w:rPr>
                <w:b w:val="false"/>
                <w:bCs w:val="false"/>
              </w:rPr>
              <w:t xml:space="preserve">≈ 800 €</w:t>
            </w:r>
          </w:p>
        </w:tc>
        <w:tc>
          <w:tcPr>
            <w:tcW w:type="dxa" w:w="1600"/>
            <w:shd w:fill="eef5f4" w:val="clear"/>
            <w:tcMar>
              <w:top w:type="dxa" w:w="100"/>
              <w:left w:type="dxa" w:w="120"/>
              <w:bottom w:type="dxa" w:w="100"/>
              <w:right w:type="dxa" w:w="120"/>
            </w:tcMar>
          </w:tcPr>
          <w:p>
            <w:pPr>
              <w:jc w:val="left"/>
            </w:pPr>
            <w:r>
              <w:rPr>
                <w:b w:val="false"/>
                <w:bCs w:val="false"/>
              </w:rPr>
              <w:t xml:space="preserve">≈ -800 €</w:t>
            </w:r>
          </w:p>
        </w:tc>
      </w:tr>
      <w:tr>
        <w:tc>
          <w:tcPr>
            <w:tcW w:type="dxa" w:w="1500"/>
            <w:tcMar>
              <w:top w:type="dxa" w:w="100"/>
              <w:left w:type="dxa" w:w="120"/>
              <w:bottom w:type="dxa" w:w="100"/>
              <w:right w:type="dxa" w:w="120"/>
            </w:tcMar>
          </w:tcPr>
          <w:p>
            <w:pPr>
              <w:jc w:val="left"/>
            </w:pPr>
            <w:r>
              <w:rPr>
                <w:b w:val="false"/>
                <w:bCs w:val="false"/>
              </w:rPr>
              <w:t xml:space="preserve">Phase 2 — fin 2028</w:t>
            </w:r>
          </w:p>
        </w:tc>
        <w:tc>
          <w:tcPr>
            <w:tcW w:type="dxa" w:w="1700"/>
            <w:tcMar>
              <w:top w:type="dxa" w:w="100"/>
              <w:left w:type="dxa" w:w="120"/>
              <w:bottom w:type="dxa" w:w="100"/>
              <w:right w:type="dxa" w:w="120"/>
            </w:tcMar>
          </w:tcPr>
          <w:p>
            <w:pPr>
              <w:jc w:val="left"/>
            </w:pPr>
            <w:r>
              <w:rPr>
                <w:b w:val="false"/>
                <w:bCs w:val="false"/>
              </w:rPr>
              <w:t xml:space="preserve">75 (50–100)</w:t>
            </w:r>
          </w:p>
        </w:tc>
        <w:tc>
          <w:tcPr>
            <w:tcW w:type="dxa" w:w="1600"/>
            <w:tcMar>
              <w:top w:type="dxa" w:w="100"/>
              <w:left w:type="dxa" w:w="120"/>
              <w:bottom w:type="dxa" w:w="100"/>
              <w:right w:type="dxa" w:w="120"/>
            </w:tcMar>
          </w:tcPr>
          <w:p>
            <w:pPr>
              <w:jc w:val="left"/>
            </w:pPr>
            <w:r>
              <w:rPr>
                <w:b w:val="false"/>
                <w:bCs w:val="false"/>
              </w:rPr>
              <w:t xml:space="preserve">2 250 €</w:t>
            </w:r>
          </w:p>
        </w:tc>
        <w:tc>
          <w:tcPr>
            <w:tcW w:type="dxa" w:w="1600"/>
            <w:tcMar>
              <w:top w:type="dxa" w:w="100"/>
              <w:left w:type="dxa" w:w="120"/>
              <w:bottom w:type="dxa" w:w="100"/>
              <w:right w:type="dxa" w:w="120"/>
            </w:tcMar>
          </w:tcPr>
          <w:p>
            <w:pPr>
              <w:jc w:val="left"/>
            </w:pPr>
            <w:r>
              <w:rPr>
                <w:b w:val="false"/>
                <w:bCs w:val="false"/>
              </w:rPr>
              <w:t xml:space="preserve">27 000 €</w:t>
            </w:r>
          </w:p>
        </w:tc>
        <w:tc>
          <w:tcPr>
            <w:tcW w:type="dxa" w:w="1600"/>
            <w:tcMar>
              <w:top w:type="dxa" w:w="100"/>
              <w:left w:type="dxa" w:w="120"/>
              <w:bottom w:type="dxa" w:w="100"/>
              <w:right w:type="dxa" w:w="120"/>
            </w:tcMar>
          </w:tcPr>
          <w:p>
            <w:pPr>
              <w:jc w:val="left"/>
            </w:pPr>
            <w:r>
              <w:rPr>
                <w:b w:val="false"/>
                <w:bCs w:val="false"/>
              </w:rPr>
              <w:t xml:space="preserve">≈ 4 500 €</w:t>
            </w:r>
          </w:p>
        </w:tc>
        <w:tc>
          <w:tcPr>
            <w:tcW w:type="dxa" w:w="1600"/>
            <w:tcMar>
              <w:top w:type="dxa" w:w="100"/>
              <w:left w:type="dxa" w:w="120"/>
              <w:bottom w:type="dxa" w:w="100"/>
              <w:right w:type="dxa" w:w="120"/>
            </w:tcMar>
          </w:tcPr>
          <w:p>
            <w:pPr>
              <w:jc w:val="left"/>
            </w:pPr>
            <w:r>
              <w:rPr>
                <w:b w:val="false"/>
                <w:bCs w:val="false"/>
              </w:rPr>
              <w:t xml:space="preserve">≈ +22 500 €</w:t>
            </w:r>
          </w:p>
        </w:tc>
      </w:tr>
      <w:tr>
        <w:tc>
          <w:tcPr>
            <w:tcW w:type="dxa" w:w="1500"/>
            <w:shd w:fill="eef5f4" w:val="clear"/>
            <w:tcMar>
              <w:top w:type="dxa" w:w="100"/>
              <w:left w:type="dxa" w:w="120"/>
              <w:bottom w:type="dxa" w:w="100"/>
              <w:right w:type="dxa" w:w="120"/>
            </w:tcMar>
          </w:tcPr>
          <w:p>
            <w:pPr>
              <w:jc w:val="left"/>
            </w:pPr>
            <w:r>
              <w:rPr>
                <w:b w:val="false"/>
                <w:bCs w:val="false"/>
              </w:rPr>
              <w:t xml:space="preserve">Phase 3 — fin 2029</w:t>
            </w:r>
          </w:p>
        </w:tc>
        <w:tc>
          <w:tcPr>
            <w:tcW w:type="dxa" w:w="1700"/>
            <w:shd w:fill="eef5f4" w:val="clear"/>
            <w:tcMar>
              <w:top w:type="dxa" w:w="100"/>
              <w:left w:type="dxa" w:w="120"/>
              <w:bottom w:type="dxa" w:w="100"/>
              <w:right w:type="dxa" w:w="120"/>
            </w:tcMar>
          </w:tcPr>
          <w:p>
            <w:pPr>
              <w:jc w:val="left"/>
            </w:pPr>
            <w:r>
              <w:rPr>
                <w:b w:val="false"/>
                <w:bCs w:val="false"/>
              </w:rPr>
              <w:t xml:space="preserve">275 (200–350)</w:t>
            </w:r>
          </w:p>
        </w:tc>
        <w:tc>
          <w:tcPr>
            <w:tcW w:type="dxa" w:w="1600"/>
            <w:shd w:fill="eef5f4" w:val="clear"/>
            <w:tcMar>
              <w:top w:type="dxa" w:w="100"/>
              <w:left w:type="dxa" w:w="120"/>
              <w:bottom w:type="dxa" w:w="100"/>
              <w:right w:type="dxa" w:w="120"/>
            </w:tcMar>
          </w:tcPr>
          <w:p>
            <w:pPr>
              <w:jc w:val="left"/>
            </w:pPr>
            <w:r>
              <w:rPr>
                <w:b w:val="false"/>
                <w:bCs w:val="false"/>
              </w:rPr>
              <w:t xml:space="preserve">8 250 €</w:t>
            </w:r>
          </w:p>
        </w:tc>
        <w:tc>
          <w:tcPr>
            <w:tcW w:type="dxa" w:w="1600"/>
            <w:shd w:fill="eef5f4" w:val="clear"/>
            <w:tcMar>
              <w:top w:type="dxa" w:w="100"/>
              <w:left w:type="dxa" w:w="120"/>
              <w:bottom w:type="dxa" w:w="100"/>
              <w:right w:type="dxa" w:w="120"/>
            </w:tcMar>
          </w:tcPr>
          <w:p>
            <w:pPr>
              <w:jc w:val="left"/>
            </w:pPr>
            <w:r>
              <w:rPr>
                <w:b w:val="false"/>
                <w:bCs w:val="false"/>
              </w:rPr>
              <w:t xml:space="preserve">99 000 €</w:t>
            </w:r>
          </w:p>
        </w:tc>
        <w:tc>
          <w:tcPr>
            <w:tcW w:type="dxa" w:w="1600"/>
            <w:shd w:fill="eef5f4" w:val="clear"/>
            <w:tcMar>
              <w:top w:type="dxa" w:w="100"/>
              <w:left w:type="dxa" w:w="120"/>
              <w:bottom w:type="dxa" w:w="100"/>
              <w:right w:type="dxa" w:w="120"/>
            </w:tcMar>
          </w:tcPr>
          <w:p>
            <w:pPr>
              <w:jc w:val="left"/>
            </w:pPr>
            <w:r>
              <w:rPr>
                <w:b w:val="false"/>
                <w:bCs w:val="false"/>
              </w:rPr>
              <w:t xml:space="preserve">≈ 11 000 €</w:t>
            </w:r>
          </w:p>
        </w:tc>
        <w:tc>
          <w:tcPr>
            <w:tcW w:type="dxa" w:w="1600"/>
            <w:shd w:fill="eef5f4" w:val="clear"/>
            <w:tcMar>
              <w:top w:type="dxa" w:w="100"/>
              <w:left w:type="dxa" w:w="120"/>
              <w:bottom w:type="dxa" w:w="100"/>
              <w:right w:type="dxa" w:w="120"/>
            </w:tcMar>
          </w:tcPr>
          <w:p>
            <w:pPr>
              <w:jc w:val="left"/>
            </w:pPr>
            <w:r>
              <w:rPr>
                <w:b w:val="false"/>
                <w:bCs w:val="false"/>
              </w:rPr>
              <w:t xml:space="preserve">≈ +88 000 €</w:t>
            </w:r>
          </w:p>
        </w:tc>
      </w:tr>
      <w:tr>
        <w:tc>
          <w:tcPr>
            <w:tcW w:type="dxa" w:w="1500"/>
            <w:tcMar>
              <w:top w:type="dxa" w:w="100"/>
              <w:left w:type="dxa" w:w="120"/>
              <w:bottom w:type="dxa" w:w="100"/>
              <w:right w:type="dxa" w:w="120"/>
            </w:tcMar>
          </w:tcPr>
          <w:p>
            <w:pPr>
              <w:jc w:val="left"/>
            </w:pPr>
            <w:r>
              <w:rPr>
                <w:b w:val="false"/>
                <w:bCs w:val="false"/>
              </w:rPr>
              <w:t xml:space="preserve">Phase 4 — fin 2030</w:t>
            </w:r>
          </w:p>
        </w:tc>
        <w:tc>
          <w:tcPr>
            <w:tcW w:type="dxa" w:w="1700"/>
            <w:tcMar>
              <w:top w:type="dxa" w:w="100"/>
              <w:left w:type="dxa" w:w="120"/>
              <w:bottom w:type="dxa" w:w="100"/>
              <w:right w:type="dxa" w:w="120"/>
            </w:tcMar>
          </w:tcPr>
          <w:p>
            <w:pPr>
              <w:jc w:val="left"/>
            </w:pPr>
            <w:r>
              <w:rPr>
                <w:b w:val="false"/>
                <w:bCs w:val="false"/>
              </w:rPr>
              <w:t xml:space="preserve">500 (400–600)</w:t>
            </w:r>
          </w:p>
        </w:tc>
        <w:tc>
          <w:tcPr>
            <w:tcW w:type="dxa" w:w="1600"/>
            <w:tcMar>
              <w:top w:type="dxa" w:w="100"/>
              <w:left w:type="dxa" w:w="120"/>
              <w:bottom w:type="dxa" w:w="100"/>
              <w:right w:type="dxa" w:w="120"/>
            </w:tcMar>
          </w:tcPr>
          <w:p>
            <w:pPr>
              <w:jc w:val="left"/>
            </w:pPr>
            <w:r>
              <w:rPr>
                <w:b w:val="false"/>
                <w:bCs w:val="false"/>
              </w:rPr>
              <w:t xml:space="preserve">15 000 €</w:t>
            </w:r>
          </w:p>
        </w:tc>
        <w:tc>
          <w:tcPr>
            <w:tcW w:type="dxa" w:w="1600"/>
            <w:tcMar>
              <w:top w:type="dxa" w:w="100"/>
              <w:left w:type="dxa" w:w="120"/>
              <w:bottom w:type="dxa" w:w="100"/>
              <w:right w:type="dxa" w:w="120"/>
            </w:tcMar>
          </w:tcPr>
          <w:p>
            <w:pPr>
              <w:jc w:val="left"/>
            </w:pPr>
            <w:r>
              <w:rPr>
                <w:b w:val="false"/>
                <w:bCs w:val="false"/>
              </w:rPr>
              <w:t xml:space="preserve">180 000 €</w:t>
            </w:r>
          </w:p>
        </w:tc>
        <w:tc>
          <w:tcPr>
            <w:tcW w:type="dxa" w:w="1600"/>
            <w:tcMar>
              <w:top w:type="dxa" w:w="100"/>
              <w:left w:type="dxa" w:w="120"/>
              <w:bottom w:type="dxa" w:w="100"/>
              <w:right w:type="dxa" w:w="120"/>
            </w:tcMar>
          </w:tcPr>
          <w:p>
            <w:pPr>
              <w:jc w:val="left"/>
            </w:pPr>
            <w:r>
              <w:rPr>
                <w:b w:val="false"/>
                <w:bCs w:val="false"/>
              </w:rPr>
              <w:t xml:space="preserve">≈ 32 000 €</w:t>
            </w:r>
          </w:p>
        </w:tc>
        <w:tc>
          <w:tcPr>
            <w:tcW w:type="dxa" w:w="1600"/>
            <w:tcMar>
              <w:top w:type="dxa" w:w="100"/>
              <w:left w:type="dxa" w:w="120"/>
              <w:bottom w:type="dxa" w:w="100"/>
              <w:right w:type="dxa" w:w="120"/>
            </w:tcMar>
          </w:tcPr>
          <w:p>
            <w:pPr>
              <w:jc w:val="left"/>
            </w:pPr>
            <w:r>
              <w:rPr>
                <w:b w:val="false"/>
                <w:bCs w:val="false"/>
              </w:rPr>
              <w:t xml:space="preserve">≈ +148 000 €</w:t>
            </w:r>
          </w:p>
        </w:tc>
      </w:tr>
    </w:tbl>
    <w:p>
      <w:pPr>
        <w:spacing w:after="100"/>
      </w:pPr>
    </w:p>
    <w:p>
      <w:pPr>
        <w:spacing w:after="160"/>
      </w:pPr>
      <w:r>
        <w:rPr>
          <w:i/>
          <w:iCs/>
          <w:color w:val="5b6b6a"/>
          <w:sz w:val="18"/>
          <w:szCs w:val="18"/>
        </w:rPr>
        <w:t xml:space="preserve">* MRR : Monthly Recurring Revenue (revenu mensuel récurrent). ** ARR : Annual Recurring Revenue (MRR × 12).</w:t>
      </w:r>
    </w:p>
    <w:p>
      <w:pPr>
        <w:pStyle w:val="Heading2"/>
        <w:spacing w:after="120" w:before="260"/>
      </w:pPr>
      <w:r>
        <w:t xml:space="preserve">Sensibilité à maturité (horizon 2030)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ef6a4c" w:val="clear"/>
            <w:tcMar>
              <w:top w:type="dxa" w:w="100"/>
              <w:left w:type="dxa" w:w="120"/>
              <w:bottom w:type="dxa" w:w="100"/>
              <w:right w:type="dxa" w:w="120"/>
            </w:tcMar>
          </w:tcPr>
          <w:p>
            <w:pPr>
              <w:jc w:val="left"/>
            </w:pPr>
            <w:r>
              <w:rPr>
                <w:b/>
                <w:bCs/>
                <w:color w:val="FFFFFF"/>
              </w:rPr>
              <w:t xml:space="preserve">Scénario (horizon 2030)</w:t>
            </w:r>
          </w:p>
        </w:tc>
        <w:tc>
          <w:tcPr>
            <w:tcW w:type="dxa" w:w="2400"/>
            <w:shd w:fill="ef6a4c" w:val="clear"/>
            <w:tcMar>
              <w:top w:type="dxa" w:w="100"/>
              <w:left w:type="dxa" w:w="120"/>
              <w:bottom w:type="dxa" w:w="100"/>
              <w:right w:type="dxa" w:w="120"/>
            </w:tcMar>
          </w:tcPr>
          <w:p>
            <w:pPr>
              <w:jc w:val="left"/>
            </w:pPr>
            <w:r>
              <w:rPr>
                <w:b/>
                <w:bCs/>
                <w:color w:val="FFFFFF"/>
              </w:rPr>
              <w:t xml:space="preserve">Abonnés Pro</w:t>
            </w:r>
          </w:p>
        </w:tc>
        <w:tc>
          <w:tcPr>
            <w:tcW w:type="dxa" w:w="2400"/>
            <w:shd w:fill="ef6a4c" w:val="clear"/>
            <w:tcMar>
              <w:top w:type="dxa" w:w="100"/>
              <w:left w:type="dxa" w:w="120"/>
              <w:bottom w:type="dxa" w:w="100"/>
              <w:right w:type="dxa" w:w="120"/>
            </w:tcMar>
          </w:tcPr>
          <w:p>
            <w:pPr>
              <w:jc w:val="left"/>
            </w:pPr>
            <w:r>
              <w:rPr>
                <w:b/>
                <w:bCs/>
                <w:color w:val="FFFFFF"/>
              </w:rPr>
              <w:t xml:space="preserve">Revenu mensuel</w:t>
            </w:r>
          </w:p>
        </w:tc>
        <w:tc>
          <w:tcPr>
            <w:tcW w:type="dxa" w:w="2400"/>
            <w:shd w:fill="ef6a4c" w:val="clear"/>
            <w:tcMar>
              <w:top w:type="dxa" w:w="100"/>
              <w:left w:type="dxa" w:w="120"/>
              <w:bottom w:type="dxa" w:w="100"/>
              <w:right w:type="dxa" w:w="120"/>
            </w:tcMar>
          </w:tcPr>
          <w:p>
            <w:pPr>
              <w:jc w:val="left"/>
            </w:pPr>
            <w:r>
              <w:rPr>
                <w:b/>
                <w:bCs/>
                <w:color w:val="FFFFFF"/>
              </w:rPr>
              <w:t xml:space="preserve">Revenu annuel</w:t>
            </w:r>
          </w:p>
        </w:tc>
      </w:tr>
      <w:tr>
        <w:tc>
          <w:tcPr>
            <w:tcW w:type="dxa" w:w="2400"/>
            <w:shd w:fill="eef5f4" w:val="clear"/>
            <w:tcMar>
              <w:top w:type="dxa" w:w="100"/>
              <w:left w:type="dxa" w:w="120"/>
              <w:bottom w:type="dxa" w:w="100"/>
              <w:right w:type="dxa" w:w="120"/>
            </w:tcMar>
          </w:tcPr>
          <w:p>
            <w:pPr>
              <w:jc w:val="left"/>
            </w:pPr>
            <w:r>
              <w:rPr>
                <w:b w:val="false"/>
                <w:bCs w:val="false"/>
              </w:rPr>
              <w:t xml:space="preserve">Bas</w:t>
            </w:r>
          </w:p>
        </w:tc>
        <w:tc>
          <w:tcPr>
            <w:tcW w:type="dxa" w:w="2400"/>
            <w:shd w:fill="eef5f4" w:val="clear"/>
            <w:tcMar>
              <w:top w:type="dxa" w:w="100"/>
              <w:left w:type="dxa" w:w="120"/>
              <w:bottom w:type="dxa" w:w="100"/>
              <w:right w:type="dxa" w:w="120"/>
            </w:tcMar>
          </w:tcPr>
          <w:p>
            <w:pPr>
              <w:jc w:val="left"/>
            </w:pPr>
            <w:r>
              <w:rPr>
                <w:b w:val="false"/>
                <w:bCs w:val="false"/>
              </w:rPr>
              <w:t xml:space="preserve">200</w:t>
            </w:r>
          </w:p>
        </w:tc>
        <w:tc>
          <w:tcPr>
            <w:tcW w:type="dxa" w:w="2400"/>
            <w:shd w:fill="eef5f4" w:val="clear"/>
            <w:tcMar>
              <w:top w:type="dxa" w:w="100"/>
              <w:left w:type="dxa" w:w="120"/>
              <w:bottom w:type="dxa" w:w="100"/>
              <w:right w:type="dxa" w:w="120"/>
            </w:tcMar>
          </w:tcPr>
          <w:p>
            <w:pPr>
              <w:jc w:val="left"/>
            </w:pPr>
            <w:r>
              <w:rPr>
                <w:b w:val="false"/>
                <w:bCs w:val="false"/>
              </w:rPr>
              <w:t xml:space="preserve">6 000 €</w:t>
            </w:r>
          </w:p>
        </w:tc>
        <w:tc>
          <w:tcPr>
            <w:tcW w:type="dxa" w:w="2400"/>
            <w:shd w:fill="eef5f4" w:val="clear"/>
            <w:tcMar>
              <w:top w:type="dxa" w:w="100"/>
              <w:left w:type="dxa" w:w="120"/>
              <w:bottom w:type="dxa" w:w="100"/>
              <w:right w:type="dxa" w:w="120"/>
            </w:tcMar>
          </w:tcPr>
          <w:p>
            <w:pPr>
              <w:jc w:val="left"/>
            </w:pPr>
            <w:r>
              <w:rPr>
                <w:b w:val="false"/>
                <w:bCs w:val="false"/>
              </w:rPr>
              <w:t xml:space="preserve">72 000 €</w:t>
            </w:r>
          </w:p>
        </w:tc>
      </w:tr>
      <w:tr>
        <w:tc>
          <w:tcPr>
            <w:tcW w:type="dxa" w:w="2400"/>
            <w:tcMar>
              <w:top w:type="dxa" w:w="100"/>
              <w:left w:type="dxa" w:w="120"/>
              <w:bottom w:type="dxa" w:w="100"/>
              <w:right w:type="dxa" w:w="120"/>
            </w:tcMar>
          </w:tcPr>
          <w:p>
            <w:pPr>
              <w:jc w:val="left"/>
            </w:pPr>
            <w:r>
              <w:rPr>
                <w:b w:val="false"/>
                <w:bCs w:val="false"/>
              </w:rPr>
              <w:t xml:space="preserve">Réaliste</w:t>
            </w:r>
          </w:p>
        </w:tc>
        <w:tc>
          <w:tcPr>
            <w:tcW w:type="dxa" w:w="2400"/>
            <w:tcMar>
              <w:top w:type="dxa" w:w="100"/>
              <w:left w:type="dxa" w:w="120"/>
              <w:bottom w:type="dxa" w:w="100"/>
              <w:right w:type="dxa" w:w="120"/>
            </w:tcMar>
          </w:tcPr>
          <w:p>
            <w:pPr>
              <w:jc w:val="left"/>
            </w:pPr>
            <w:r>
              <w:rPr>
                <w:b w:val="false"/>
                <w:bCs w:val="false"/>
              </w:rPr>
              <w:t xml:space="preserve">500</w:t>
            </w:r>
          </w:p>
        </w:tc>
        <w:tc>
          <w:tcPr>
            <w:tcW w:type="dxa" w:w="2400"/>
            <w:tcMar>
              <w:top w:type="dxa" w:w="100"/>
              <w:left w:type="dxa" w:w="120"/>
              <w:bottom w:type="dxa" w:w="100"/>
              <w:right w:type="dxa" w:w="120"/>
            </w:tcMar>
          </w:tcPr>
          <w:p>
            <w:pPr>
              <w:jc w:val="left"/>
            </w:pPr>
            <w:r>
              <w:rPr>
                <w:b w:val="false"/>
                <w:bCs w:val="false"/>
              </w:rPr>
              <w:t xml:space="preserve">15 000 €</w:t>
            </w:r>
          </w:p>
        </w:tc>
        <w:tc>
          <w:tcPr>
            <w:tcW w:type="dxa" w:w="2400"/>
            <w:tcMar>
              <w:top w:type="dxa" w:w="100"/>
              <w:left w:type="dxa" w:w="120"/>
              <w:bottom w:type="dxa" w:w="100"/>
              <w:right w:type="dxa" w:w="120"/>
            </w:tcMar>
          </w:tcPr>
          <w:p>
            <w:pPr>
              <w:jc w:val="left"/>
            </w:pPr>
            <w:r>
              <w:rPr>
                <w:b w:val="false"/>
                <w:bCs w:val="false"/>
              </w:rPr>
              <w:t xml:space="preserve">180 000 €</w:t>
            </w:r>
          </w:p>
        </w:tc>
      </w:tr>
      <w:tr>
        <w:tc>
          <w:tcPr>
            <w:tcW w:type="dxa" w:w="2400"/>
            <w:shd w:fill="eef5f4" w:val="clear"/>
            <w:tcMar>
              <w:top w:type="dxa" w:w="100"/>
              <w:left w:type="dxa" w:w="120"/>
              <w:bottom w:type="dxa" w:w="100"/>
              <w:right w:type="dxa" w:w="120"/>
            </w:tcMar>
          </w:tcPr>
          <w:p>
            <w:pPr>
              <w:jc w:val="left"/>
            </w:pPr>
            <w:r>
              <w:rPr>
                <w:b w:val="false"/>
                <w:bCs w:val="false"/>
              </w:rPr>
              <w:t xml:space="preserve">Haut</w:t>
            </w:r>
          </w:p>
        </w:tc>
        <w:tc>
          <w:tcPr>
            <w:tcW w:type="dxa" w:w="2400"/>
            <w:shd w:fill="eef5f4" w:val="clear"/>
            <w:tcMar>
              <w:top w:type="dxa" w:w="100"/>
              <w:left w:type="dxa" w:w="120"/>
              <w:bottom w:type="dxa" w:w="100"/>
              <w:right w:type="dxa" w:w="120"/>
            </w:tcMar>
          </w:tcPr>
          <w:p>
            <w:pPr>
              <w:jc w:val="left"/>
            </w:pPr>
            <w:r>
              <w:rPr>
                <w:b w:val="false"/>
                <w:bCs w:val="false"/>
              </w:rPr>
              <w:t xml:space="preserve">1 000</w:t>
            </w:r>
          </w:p>
        </w:tc>
        <w:tc>
          <w:tcPr>
            <w:tcW w:type="dxa" w:w="2400"/>
            <w:shd w:fill="eef5f4" w:val="clear"/>
            <w:tcMar>
              <w:top w:type="dxa" w:w="100"/>
              <w:left w:type="dxa" w:w="120"/>
              <w:bottom w:type="dxa" w:w="100"/>
              <w:right w:type="dxa" w:w="120"/>
            </w:tcMar>
          </w:tcPr>
          <w:p>
            <w:pPr>
              <w:jc w:val="left"/>
            </w:pPr>
            <w:r>
              <w:rPr>
                <w:b w:val="false"/>
                <w:bCs w:val="false"/>
              </w:rPr>
              <w:t xml:space="preserve">30 000 €</w:t>
            </w:r>
          </w:p>
        </w:tc>
        <w:tc>
          <w:tcPr>
            <w:tcW w:type="dxa" w:w="2400"/>
            <w:shd w:fill="eef5f4" w:val="clear"/>
            <w:tcMar>
              <w:top w:type="dxa" w:w="100"/>
              <w:left w:type="dxa" w:w="120"/>
              <w:bottom w:type="dxa" w:w="100"/>
              <w:right w:type="dxa" w:w="120"/>
            </w:tcMar>
          </w:tcPr>
          <w:p>
            <w:pPr>
              <w:jc w:val="left"/>
            </w:pPr>
            <w:r>
              <w:rPr>
                <w:b w:val="false"/>
                <w:bCs w:val="false"/>
              </w:rPr>
              <w:t xml:space="preserve">360 000 €</w:t>
            </w:r>
          </w:p>
        </w:tc>
      </w:tr>
    </w:tbl>
    <w:p>
      <w:pPr>
        <w:spacing w:after="100"/>
      </w:pPr>
    </w:p>
    <w:p>
      <w:pPr>
        <w:spacing w:after="160"/>
      </w:pPr>
      <w:r>
        <w:rPr>
          <w:i/>
          <w:iCs/>
          <w:color w:val="5b6b6a"/>
          <w:sz w:val="20"/>
          <w:szCs w:val="20"/>
        </w:rPr>
        <w:t xml:space="preserve">Le scénario "Haut" (1 000 établissements payants) correspond à l'objectif évoqué dans le modèle économique initial et resterait une très belle réussite pour un marché de la taille de Maurice.</w:t>
      </w:r>
    </w:p>
    <w:p>
      <w:pPr>
        <w:pStyle w:val="Heading1"/>
        <w:spacing w:after="160" w:before="360"/>
      </w:pPr>
      <w:r>
        <w:t xml:space="preserve">3. Vendre aux fournisseurs : attentes et modèle par établissement</w:t>
      </w:r>
    </w:p>
    <w:p>
      <w:pPr>
        <w:spacing w:after="160"/>
      </w:pPr>
      <w:r>
        <w:t xml:space="preserve">Les établissements mauriciens sont déjà présents sur Google, Facebook, Instagram, parfois TikTok — mais ils ne savent généralement pas si cette présence leur amène réellement des clients. C'est le vrai point d'entrée commercial : Maurice+ ne vend pas de la visibilité abstraite, mais la preuve concrète d'être vu par des personnes qui cherchent exactement ce qu'ils proposent, au moment où elles sont sur place à Maurice.</w:t>
      </w:r>
    </w:p>
    <w:p>
      <w:pPr>
        <w:pStyle w:val="Heading2"/>
        <w:spacing w:after="120" w:before="260"/>
      </w:pPr>
      <w:r>
        <w:t xml:space="preserve">Ce qu'ils attendent d'une telle appli</w:t>
      </w:r>
    </w:p>
    <w:p>
      <w:pPr>
        <w:pStyle w:val="ListParagraph"/>
        <w:numPr>
          <w:ilvl w:val="0"/>
          <w:numId w:val="1"/>
        </w:numPr>
        <w:spacing w:after="80"/>
      </w:pPr>
      <w:r>
        <w:rPr>
          <w:b/>
          <w:bCs/>
        </w:rPr>
        <w:t xml:space="preserve">Une preuve, pas une promesse : </w:t>
      </w:r>
      <w:r>
        <w:t xml:space="preserve">des chiffres simples et compréhensibles (vues, clics WhatsApp, itinéraires demandés) plutôt que des indicateurs marketing abstraits.</w:t>
      </w:r>
    </w:p>
    <w:p>
      <w:pPr>
        <w:pStyle w:val="ListParagraph"/>
        <w:numPr>
          <w:ilvl w:val="0"/>
          <w:numId w:val="1"/>
        </w:numPr>
        <w:spacing w:after="80"/>
      </w:pPr>
      <w:r>
        <w:rPr>
          <w:b/>
          <w:bCs/>
        </w:rPr>
        <w:t xml:space="preserve">Aucune barrière à l'entrée : </w:t>
      </w:r>
      <w:r>
        <w:t xml:space="preserve">pouvoir essayer avant de payer, sans engagement long — beaucoup ont déjà été déçus par des vendeurs de visibilité digitale.</w:t>
      </w:r>
    </w:p>
    <w:p>
      <w:pPr>
        <w:pStyle w:val="ListParagraph"/>
        <w:numPr>
          <w:ilvl w:val="0"/>
          <w:numId w:val="1"/>
        </w:numPr>
        <w:spacing w:after="80"/>
      </w:pPr>
      <w:r>
        <w:rPr>
          <w:b/>
          <w:bCs/>
        </w:rPr>
        <w:t xml:space="preserve">De la simplicité : </w:t>
      </w:r>
      <w:r>
        <w:t xml:space="preserve">pas de tableau de bord compliqué à gérer seul — un contact humain pour créer/mettre à jour la fiche, surtout pour les établissements peu digitalisés.</w:t>
      </w:r>
    </w:p>
    <w:p>
      <w:pPr>
        <w:pStyle w:val="ListParagraph"/>
        <w:numPr>
          <w:ilvl w:val="0"/>
          <w:numId w:val="1"/>
        </w:numPr>
        <w:spacing w:after="80"/>
      </w:pPr>
      <w:r>
        <w:rPr>
          <w:b/>
          <w:bCs/>
        </w:rPr>
        <w:t xml:space="preserve">Ne pas être noyé dans la masse : </w:t>
      </w:r>
      <w:r>
        <w:t xml:space="preserve">un moyen de se différencier (badge "Partenaire", mise en avant) plutôt qu'une fiche parmi des milliers.</w:t>
      </w:r>
    </w:p>
    <w:p>
      <w:pPr>
        <w:pStyle w:val="ListParagraph"/>
        <w:numPr>
          <w:ilvl w:val="0"/>
          <w:numId w:val="1"/>
        </w:numPr>
        <w:spacing w:after="80"/>
      </w:pPr>
      <w:r>
        <w:rPr>
          <w:b/>
          <w:bCs/>
        </w:rPr>
        <w:t xml:space="preserve">De la crédibilité : </w:t>
      </w:r>
      <w:r>
        <w:t xml:space="preserve">être associé à une plateforme reconnue par leur clientèle cible (touristes et expatriés), un signal de qualité réutilisable ailleurs (site, vitrine).</w:t>
      </w:r>
    </w:p>
    <w:p>
      <w:pPr>
        <w:pStyle w:val="Heading2"/>
        <w:spacing w:after="120" w:before="260"/>
      </w:pPr>
      <w:r>
        <w:t xml:space="preserve">Commission ou abonnement : quel modèle pour quel établissement</w:t>
      </w:r>
    </w:p>
    <w:p>
      <w:pPr>
        <w:spacing w:after="160"/>
      </w:pPr>
      <w:r>
        <w:t xml:space="preserve">Les deux mécanismes ne s'adressent pas aux mêmes établissements — ils sont complémentaires plutôt qu'en concurrence, selon que l'établissement peut ou non recevoir une réservation via l'appli.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0e8b84" w:val="clear"/>
            <w:tcMar>
              <w:top w:type="dxa" w:w="100"/>
              <w:left w:type="dxa" w:w="120"/>
              <w:bottom w:type="dxa" w:w="100"/>
              <w:right w:type="dxa" w:w="120"/>
            </w:tcMar>
          </w:tcPr>
          <w:p>
            <w:pPr>
              <w:jc w:val="left"/>
            </w:pPr>
            <w:r>
              <w:rPr>
                <w:b/>
                <w:bCs/>
                <w:color w:val="FFFFFF"/>
              </w:rPr>
              <w:t xml:space="preserve">Type d'établissement</w:t>
            </w:r>
          </w:p>
        </w:tc>
        <w:tc>
          <w:tcPr>
            <w:tcW w:type="dxa" w:w="3200"/>
            <w:shd w:fill="0e8b84" w:val="clear"/>
            <w:tcMar>
              <w:top w:type="dxa" w:w="100"/>
              <w:left w:type="dxa" w:w="120"/>
              <w:bottom w:type="dxa" w:w="100"/>
              <w:right w:type="dxa" w:w="120"/>
            </w:tcMar>
          </w:tcPr>
          <w:p>
            <w:pPr>
              <w:jc w:val="left"/>
            </w:pPr>
            <w:r>
              <w:rPr>
                <w:b/>
                <w:bCs/>
                <w:color w:val="FFFFFF"/>
              </w:rPr>
              <w:t xml:space="preserve">Modèle recommandé</w:t>
            </w:r>
          </w:p>
        </w:tc>
        <w:tc>
          <w:tcPr>
            <w:tcW w:type="dxa" w:w="3200"/>
            <w:shd w:fill="0e8b84" w:val="clear"/>
            <w:tcMar>
              <w:top w:type="dxa" w:w="100"/>
              <w:left w:type="dxa" w:w="120"/>
              <w:bottom w:type="dxa" w:w="100"/>
              <w:right w:type="dxa" w:w="120"/>
            </w:tcMar>
          </w:tcPr>
          <w:p>
            <w:pPr>
              <w:jc w:val="left"/>
            </w:pPr>
            <w:r>
              <w:rPr>
                <w:b/>
                <w:bCs/>
                <w:color w:val="FFFFFF"/>
              </w:rPr>
              <w:t xml:space="preserve">Pourquoi</w:t>
            </w:r>
          </w:p>
        </w:tc>
      </w:tr>
      <w:tr>
        <w:tc>
          <w:tcPr>
            <w:tcW w:type="dxa" w:w="3200"/>
            <w:shd w:fill="eef5f4" w:val="clear"/>
            <w:tcMar>
              <w:top w:type="dxa" w:w="100"/>
              <w:left w:type="dxa" w:w="120"/>
              <w:bottom w:type="dxa" w:w="100"/>
              <w:right w:type="dxa" w:w="120"/>
            </w:tcMar>
          </w:tcPr>
          <w:p>
            <w:pPr>
              <w:jc w:val="left"/>
            </w:pPr>
            <w:r>
              <w:rPr>
                <w:b w:val="false"/>
                <w:bCs w:val="false"/>
              </w:rPr>
              <w:t xml:space="preserve">Excursions, croisières, plongée, location, activités réservables</w:t>
            </w:r>
          </w:p>
        </w:tc>
        <w:tc>
          <w:tcPr>
            <w:tcW w:type="dxa" w:w="3200"/>
            <w:shd w:fill="eef5f4" w:val="clear"/>
            <w:tcMar>
              <w:top w:type="dxa" w:w="100"/>
              <w:left w:type="dxa" w:w="120"/>
              <w:bottom w:type="dxa" w:w="100"/>
              <w:right w:type="dxa" w:w="120"/>
            </w:tcMar>
          </w:tcPr>
          <w:p>
            <w:pPr>
              <w:jc w:val="left"/>
            </w:pPr>
            <w:r>
              <w:rPr>
                <w:b w:val="false"/>
                <w:bCs w:val="false"/>
              </w:rPr>
              <w:t xml:space="preserve">Commission (5–10 %) en priorité, abonnement en option une fois le volume prouvé</w:t>
            </w:r>
          </w:p>
        </w:tc>
        <w:tc>
          <w:tcPr>
            <w:tcW w:type="dxa" w:w="3200"/>
            <w:shd w:fill="eef5f4" w:val="clear"/>
            <w:tcMar>
              <w:top w:type="dxa" w:w="100"/>
              <w:left w:type="dxa" w:w="120"/>
              <w:bottom w:type="dxa" w:w="100"/>
              <w:right w:type="dxa" w:w="120"/>
            </w:tcMar>
          </w:tcPr>
          <w:p>
            <w:pPr>
              <w:jc w:val="left"/>
            </w:pPr>
            <w:r>
              <w:rPr>
                <w:b w:val="false"/>
                <w:bCs w:val="false"/>
              </w:rPr>
              <w:t xml:space="preserve">Paiement uniquement si résultat : aucune barrière à l'entrée pour convaincre les premiers partenaires, sans preuve de trafic à montrer.</w:t>
            </w:r>
          </w:p>
        </w:tc>
      </w:tr>
      <w:tr>
        <w:tc>
          <w:tcPr>
            <w:tcW w:type="dxa" w:w="3200"/>
            <w:tcMar>
              <w:top w:type="dxa" w:w="100"/>
              <w:left w:type="dxa" w:w="120"/>
              <w:bottom w:type="dxa" w:w="100"/>
              <w:right w:type="dxa" w:w="120"/>
            </w:tcMar>
          </w:tcPr>
          <w:p>
            <w:pPr>
              <w:jc w:val="left"/>
            </w:pPr>
            <w:r>
              <w:rPr>
                <w:b w:val="false"/>
                <w:bCs w:val="false"/>
              </w:rPr>
              <w:t xml:space="preserve">Restaurants, bars, spas, boutiques (visibilité, pas de réservation en ligne)</w:t>
            </w:r>
          </w:p>
        </w:tc>
        <w:tc>
          <w:tcPr>
            <w:tcW w:type="dxa" w:w="3200"/>
            <w:tcMar>
              <w:top w:type="dxa" w:w="100"/>
              <w:left w:type="dxa" w:w="120"/>
              <w:bottom w:type="dxa" w:w="100"/>
              <w:right w:type="dxa" w:w="120"/>
            </w:tcMar>
          </w:tcPr>
          <w:p>
            <w:pPr>
              <w:jc w:val="left"/>
            </w:pPr>
            <w:r>
              <w:rPr>
                <w:b w:val="false"/>
                <w:bCs w:val="false"/>
              </w:rPr>
              <w:t xml:space="preserve">Abonnement Pro uniquement</w:t>
            </w:r>
          </w:p>
        </w:tc>
        <w:tc>
          <w:tcPr>
            <w:tcW w:type="dxa" w:w="3200"/>
            <w:tcMar>
              <w:top w:type="dxa" w:w="100"/>
              <w:left w:type="dxa" w:w="120"/>
              <w:bottom w:type="dxa" w:w="100"/>
              <w:right w:type="dxa" w:w="120"/>
            </w:tcMar>
          </w:tcPr>
          <w:p>
            <w:pPr>
              <w:jc w:val="left"/>
            </w:pPr>
            <w:r>
              <w:rPr>
                <w:b w:val="false"/>
                <w:bCs w:val="false"/>
              </w:rPr>
              <w:t xml:space="preserve">Aucune transaction n'est captée par l'appli, la commission n'a pas de sens ; ils paient pour la visibilité et les outils (badge, stats, bouton WhatsApp).</w:t>
            </w:r>
          </w:p>
        </w:tc>
      </w:tr>
      <w:tr>
        <w:tc>
          <w:tcPr>
            <w:tcW w:type="dxa" w:w="3200"/>
            <w:shd w:fill="eef5f4" w:val="clear"/>
            <w:tcMar>
              <w:top w:type="dxa" w:w="100"/>
              <w:left w:type="dxa" w:w="120"/>
              <w:bottom w:type="dxa" w:w="100"/>
              <w:right w:type="dxa" w:w="120"/>
            </w:tcMar>
          </w:tcPr>
          <w:p>
            <w:pPr>
              <w:jc w:val="left"/>
            </w:pPr>
            <w:r>
              <w:rPr>
                <w:b w:val="false"/>
                <w:bCs w:val="false"/>
              </w:rPr>
              <w:t xml:space="preserve">Hôtels, villas</w:t>
            </w:r>
          </w:p>
        </w:tc>
        <w:tc>
          <w:tcPr>
            <w:tcW w:type="dxa" w:w="3200"/>
            <w:shd w:fill="eef5f4" w:val="clear"/>
            <w:tcMar>
              <w:top w:type="dxa" w:w="100"/>
              <w:left w:type="dxa" w:w="120"/>
              <w:bottom w:type="dxa" w:w="100"/>
              <w:right w:type="dxa" w:w="120"/>
            </w:tcMar>
          </w:tcPr>
          <w:p>
            <w:pPr>
              <w:jc w:val="left"/>
            </w:pPr>
            <w:r>
              <w:rPr>
                <w:b w:val="false"/>
                <w:bCs w:val="false"/>
              </w:rPr>
              <w:t xml:space="preserve">Commission ou partenariat</w:t>
            </w:r>
          </w:p>
        </w:tc>
        <w:tc>
          <w:tcPr>
            <w:tcW w:type="dxa" w:w="3200"/>
            <w:shd w:fill="eef5f4" w:val="clear"/>
            <w:tcMar>
              <w:top w:type="dxa" w:w="100"/>
              <w:left w:type="dxa" w:w="120"/>
              <w:bottom w:type="dxa" w:w="100"/>
              <w:right w:type="dxa" w:w="120"/>
            </w:tcMar>
          </w:tcPr>
          <w:p>
            <w:pPr>
              <w:jc w:val="left"/>
            </w:pPr>
            <w:r>
              <w:rPr>
                <w:b w:val="false"/>
                <w:bCs w:val="false"/>
              </w:rPr>
              <w:t xml:space="preserve">Génèrent des réservations à forte valeur ; la commission est un standard du secteur (comme les OTA type Booking), donc déjà culturellement acceptée.</w:t>
            </w:r>
          </w:p>
        </w:tc>
      </w:tr>
    </w:tbl>
    <w:p>
      <w:pPr>
        <w:spacing w:after="100"/>
      </w:pPr>
    </w:p>
    <w:p>
      <w:pPr>
        <w:pStyle w:val="Heading2"/>
        <w:spacing w:after="120" w:before="260"/>
      </w:pPr>
      <w:r>
        <w:t xml:space="preserve">Processus de démarchage recommandé</w:t>
      </w:r>
    </w:p>
    <w:p>
      <w:pPr>
        <w:pStyle w:val="ListParagraph"/>
        <w:numPr>
          <w:ilvl w:val="0"/>
          <w:numId w:val="1"/>
        </w:numPr>
        <w:spacing w:after="80"/>
      </w:pPr>
      <w:r>
        <w:rPr>
          <w:b/>
          <w:bCs/>
        </w:rPr>
        <w:t xml:space="preserve">1. </w:t>
      </w:r>
      <w:r>
        <w:t xml:space="preserve">Cibler d'abord les établissements réservables (excursions, plongée, croisières) pour l'entrée en commission — argument "vous ne payez que si ça marche", zéro risque pour eux.</w:t>
      </w:r>
    </w:p>
    <w:p>
      <w:pPr>
        <w:pStyle w:val="ListParagraph"/>
        <w:numPr>
          <w:ilvl w:val="0"/>
          <w:numId w:val="1"/>
        </w:numPr>
        <w:spacing w:after="80"/>
      </w:pPr>
      <w:r>
        <w:rPr>
          <w:b/>
          <w:bCs/>
        </w:rPr>
        <w:t xml:space="preserve">2. </w:t>
      </w:r>
      <w:r>
        <w:t xml:space="preserve">Une fois 10–20 pilotes engagés et les premières statistiques réelles accumulées en Phase 1, utiliser ces chiffres comme preuve sociale pour démarcher les établissements à abonnement (restaurants, spas, boutiques).</w:t>
      </w:r>
    </w:p>
    <w:p>
      <w:pPr>
        <w:pStyle w:val="ListParagraph"/>
        <w:numPr>
          <w:ilvl w:val="0"/>
          <w:numId w:val="1"/>
        </w:numPr>
        <w:spacing w:after="80"/>
      </w:pPr>
      <w:r>
        <w:rPr>
          <w:b/>
          <w:bCs/>
        </w:rPr>
        <w:t xml:space="preserve">3. </w:t>
      </w:r>
      <w:r>
        <w:t xml:space="preserve">Garder le contact humain (visite ou appel, pas un formulaire self-service) pour l'inscription et le premier mois — c'est ce qui construit la confiance sur ce segment.</w:t>
      </w:r>
    </w:p>
    <w:p>
      <w:pPr>
        <w:pStyle w:val="ListParagraph"/>
        <w:numPr>
          <w:ilvl w:val="0"/>
          <w:numId w:val="1"/>
        </w:numPr>
        <w:spacing w:after="80"/>
      </w:pPr>
      <w:r>
        <w:rPr>
          <w:b/>
          <w:bCs/>
        </w:rPr>
        <w:t xml:space="preserve">4. </w:t>
      </w:r>
      <w:r>
        <w:t xml:space="preserve">Proposer un mois d'essai gratuit sur l'abonnement Pro avant le premier prélèvement.</w:t>
      </w:r>
    </w:p>
    <w:p>
      <w:pPr>
        <w:pStyle w:val="Heading1"/>
        <w:spacing w:after="160" w:before="360"/>
      </w:pPr>
      <w:r>
        <w:t xml:space="preserve">4. Monétisation des utilisateurs (B2C), plus tard : le Pass Maurice</w:t>
      </w:r>
    </w:p>
    <w:p>
      <w:pPr>
        <w:spacing w:after="160"/>
      </w:pPr>
      <w:r>
        <w:t xml:space="preserve">Le modèle reste prioritairement B2B (sections précédentes). Mais une fois une base d'utilisateurs actifs suffisante, certaines fonctionnalités orientées utilisateurs peuvent nourrir un abonnement B2C additionnel — le "Pass Maurice". Quatre pistes ont été envisagées : la seconde main, les événements locaux, des tchats thématiques et des profils pour les indépendants (coachs sport, soins…). Elles partagent un trait qui change la donne par rapport au reste du modèle : contrairement à l'annuaire, ce sont des fonctionnalités dynamiques qui demandent un travail récurrent de modération et de mise à jour — d'où la pertinence d'un abonnement séparé plutôt que de les inclure dans l'offre gratuite.</w:t>
      </w:r>
    </w:p>
    <w:p>
      <w:pPr>
        <w:pStyle w:val="Heading2"/>
        <w:spacing w:after="120" w:before="260"/>
      </w:pPr>
      <w:r>
        <w:t xml:space="preserve">Répartition recommandée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700"/>
        <w:gridCol w:w="2800"/>
      </w:tblGrid>
      <w:tr>
        <w:trPr>
          <w:tblHeader/>
        </w:trPr>
        <w:tc>
          <w:tcPr>
            <w:tcW w:type="dxa" w:w="2200"/>
            <w:shd w:fill="0e8b84" w:val="clear"/>
            <w:tcMar>
              <w:top w:type="dxa" w:w="100"/>
              <w:left w:type="dxa" w:w="120"/>
              <w:bottom w:type="dxa" w:w="100"/>
              <w:right w:type="dxa" w:w="120"/>
            </w:tcMar>
          </w:tcPr>
          <w:p>
            <w:pPr>
              <w:jc w:val="left"/>
            </w:pPr>
            <w:r>
              <w:rPr>
                <w:b/>
                <w:bCs/>
                <w:color w:val="FFFFFF"/>
              </w:rPr>
              <w:t xml:space="preserve">Fonctionnalité</w:t>
            </w:r>
          </w:p>
        </w:tc>
        <w:tc>
          <w:tcPr>
            <w:tcW w:type="dxa" w:w="1900"/>
            <w:shd w:fill="0e8b84" w:val="clear"/>
            <w:tcMar>
              <w:top w:type="dxa" w:w="100"/>
              <w:left w:type="dxa" w:w="120"/>
              <w:bottom w:type="dxa" w:w="100"/>
              <w:right w:type="dxa" w:w="120"/>
            </w:tcMar>
          </w:tcPr>
          <w:p>
            <w:pPr>
              <w:jc w:val="left"/>
            </w:pPr>
            <w:r>
              <w:rPr>
                <w:b/>
                <w:bCs/>
                <w:color w:val="FFFFFF"/>
              </w:rPr>
              <w:t xml:space="preserve">Où la classer</w:t>
            </w:r>
          </w:p>
        </w:tc>
        <w:tc>
          <w:tcPr>
            <w:tcW w:type="dxa" w:w="2700"/>
            <w:shd w:fill="0e8b84" w:val="clear"/>
            <w:tcMar>
              <w:top w:type="dxa" w:w="100"/>
              <w:left w:type="dxa" w:w="120"/>
              <w:bottom w:type="dxa" w:w="100"/>
              <w:right w:type="dxa" w:w="120"/>
            </w:tcMar>
          </w:tcPr>
          <w:p>
            <w:pPr>
              <w:jc w:val="left"/>
            </w:pPr>
            <w:r>
              <w:rPr>
                <w:b/>
                <w:bCs/>
                <w:color w:val="FFFFFF"/>
              </w:rPr>
              <w:t xml:space="preserve">Modèle de monétisation</w:t>
            </w:r>
          </w:p>
        </w:tc>
        <w:tc>
          <w:tcPr>
            <w:tcW w:type="dxa" w:w="2800"/>
            <w:shd w:fill="0e8b84" w:val="clear"/>
            <w:tcMar>
              <w:top w:type="dxa" w:w="100"/>
              <w:left w:type="dxa" w:w="120"/>
              <w:bottom w:type="dxa" w:w="100"/>
              <w:right w:type="dxa" w:w="120"/>
            </w:tcMar>
          </w:tcPr>
          <w:p>
            <w:pPr>
              <w:jc w:val="left"/>
            </w:pPr>
            <w:r>
              <w:rPr>
                <w:b/>
                <w:bCs/>
                <w:color w:val="FFFFFF"/>
              </w:rPr>
              <w:t xml:space="preserve">Note</w:t>
            </w:r>
          </w:p>
        </w:tc>
      </w:tr>
      <w:tr>
        <w:tc>
          <w:tcPr>
            <w:tcW w:type="dxa" w:w="2200"/>
            <w:shd w:fill="eef5f4" w:val="clear"/>
            <w:tcMar>
              <w:top w:type="dxa" w:w="100"/>
              <w:left w:type="dxa" w:w="120"/>
              <w:bottom w:type="dxa" w:w="100"/>
              <w:right w:type="dxa" w:w="120"/>
            </w:tcMar>
          </w:tcPr>
          <w:p>
            <w:pPr>
              <w:jc w:val="left"/>
            </w:pPr>
            <w:r>
              <w:rPr>
                <w:b w:val="false"/>
                <w:bCs w:val="false"/>
              </w:rPr>
              <w:t xml:space="preserve">Seconde main</w:t>
            </w:r>
          </w:p>
        </w:tc>
        <w:tc>
          <w:tcPr>
            <w:tcW w:type="dxa" w:w="1900"/>
            <w:shd w:fill="eef5f4" w:val="clear"/>
            <w:tcMar>
              <w:top w:type="dxa" w:w="100"/>
              <w:left w:type="dxa" w:w="120"/>
              <w:bottom w:type="dxa" w:w="100"/>
              <w:right w:type="dxa" w:w="120"/>
            </w:tcMar>
          </w:tcPr>
          <w:p>
            <w:pPr>
              <w:jc w:val="left"/>
            </w:pPr>
            <w:r>
              <w:rPr>
                <w:b w:val="false"/>
                <w:bCs w:val="false"/>
              </w:rPr>
              <w:t xml:space="preserve">Pass Maurice (B2C)</w:t>
            </w:r>
          </w:p>
        </w:tc>
        <w:tc>
          <w:tcPr>
            <w:tcW w:type="dxa" w:w="2700"/>
            <w:shd w:fill="eef5f4" w:val="clear"/>
            <w:tcMar>
              <w:top w:type="dxa" w:w="100"/>
              <w:left w:type="dxa" w:w="120"/>
              <w:bottom w:type="dxa" w:w="100"/>
              <w:right w:type="dxa" w:w="120"/>
            </w:tcMar>
          </w:tcPr>
          <w:p>
            <w:pPr>
              <w:jc w:val="left"/>
            </w:pPr>
            <w:r>
              <w:rPr>
                <w:b w:val="false"/>
                <w:bCs w:val="false"/>
              </w:rPr>
              <w:t xml:space="preserve">Gratuit pour publier/consulter + options payantes à l'unité, ou incluses dans le Pass</w:t>
            </w:r>
          </w:p>
        </w:tc>
        <w:tc>
          <w:tcPr>
            <w:tcW w:type="dxa" w:w="2800"/>
            <w:shd w:fill="eef5f4" w:val="clear"/>
            <w:tcMar>
              <w:top w:type="dxa" w:w="100"/>
              <w:left w:type="dxa" w:w="120"/>
              <w:bottom w:type="dxa" w:w="100"/>
              <w:right w:type="dxa" w:w="120"/>
            </w:tcMar>
          </w:tcPr>
          <w:p>
            <w:pPr>
              <w:jc w:val="left"/>
            </w:pPr>
            <w:r>
              <w:rPr>
                <w:b w:val="false"/>
                <w:bCs w:val="false"/>
              </w:rPr>
              <w:t xml:space="preserve">Nécessite une densité d'utilisateurs avant lancement (seuil ≈ 15 000–20 000 actifs).</w:t>
            </w:r>
          </w:p>
        </w:tc>
      </w:tr>
      <w:tr>
        <w:tc>
          <w:tcPr>
            <w:tcW w:type="dxa" w:w="2200"/>
            <w:tcMar>
              <w:top w:type="dxa" w:w="100"/>
              <w:left w:type="dxa" w:w="120"/>
              <w:bottom w:type="dxa" w:w="100"/>
              <w:right w:type="dxa" w:w="120"/>
            </w:tcMar>
          </w:tcPr>
          <w:p>
            <w:pPr>
              <w:jc w:val="left"/>
            </w:pPr>
            <w:r>
              <w:rPr>
                <w:b w:val="false"/>
                <w:bCs w:val="false"/>
              </w:rPr>
              <w:t xml:space="preserve">Événements locaux</w:t>
            </w:r>
          </w:p>
        </w:tc>
        <w:tc>
          <w:tcPr>
            <w:tcW w:type="dxa" w:w="1900"/>
            <w:tcMar>
              <w:top w:type="dxa" w:w="100"/>
              <w:left w:type="dxa" w:w="120"/>
              <w:bottom w:type="dxa" w:w="100"/>
              <w:right w:type="dxa" w:w="120"/>
            </w:tcMar>
          </w:tcPr>
          <w:p>
            <w:pPr>
              <w:jc w:val="left"/>
            </w:pPr>
            <w:r>
              <w:rPr>
                <w:b w:val="false"/>
                <w:bCs w:val="false"/>
              </w:rPr>
              <w:t xml:space="preserve">Pass Maurice (B2C)</w:t>
            </w:r>
          </w:p>
        </w:tc>
        <w:tc>
          <w:tcPr>
            <w:tcW w:type="dxa" w:w="2700"/>
            <w:tcMar>
              <w:top w:type="dxa" w:w="100"/>
              <w:left w:type="dxa" w:w="120"/>
              <w:bottom w:type="dxa" w:w="100"/>
              <w:right w:type="dxa" w:w="120"/>
            </w:tcMar>
          </w:tcPr>
          <w:p>
            <w:pPr>
              <w:jc w:val="left"/>
            </w:pPr>
            <w:r>
              <w:rPr>
                <w:b w:val="false"/>
                <w:bCs w:val="false"/>
              </w:rPr>
              <w:t xml:space="preserve">Monétisé côté organisateur (mise en avant payante) ; accès prioritaire/invitations pour les abonnés Pass</w:t>
            </w:r>
          </w:p>
        </w:tc>
        <w:tc>
          <w:tcPr>
            <w:tcW w:type="dxa" w:w="2800"/>
            <w:tcMar>
              <w:top w:type="dxa" w:w="100"/>
              <w:left w:type="dxa" w:w="120"/>
              <w:bottom w:type="dxa" w:w="100"/>
              <w:right w:type="dxa" w:w="120"/>
            </w:tcMar>
          </w:tcPr>
          <w:p>
            <w:pPr>
              <w:jc w:val="left"/>
            </w:pPr>
            <w:r>
              <w:rPr>
                <w:b w:val="false"/>
                <w:bCs w:val="false"/>
              </w:rPr>
              <w:t xml:space="preserve">Fort en rétention (raison de revenir chaque semaine) — ne pas faire payer l'accès aux événements eux-mêmes.</w:t>
            </w:r>
          </w:p>
        </w:tc>
      </w:tr>
      <w:tr>
        <w:tc>
          <w:tcPr>
            <w:tcW w:type="dxa" w:w="2200"/>
            <w:shd w:fill="eef5f4" w:val="clear"/>
            <w:tcMar>
              <w:top w:type="dxa" w:w="100"/>
              <w:left w:type="dxa" w:w="120"/>
              <w:bottom w:type="dxa" w:w="100"/>
              <w:right w:type="dxa" w:w="120"/>
            </w:tcMar>
          </w:tcPr>
          <w:p>
            <w:pPr>
              <w:jc w:val="left"/>
            </w:pPr>
            <w:r>
              <w:rPr>
                <w:b w:val="false"/>
                <w:bCs w:val="false"/>
              </w:rPr>
              <w:t xml:space="preserve">Tchats thématiques</w:t>
            </w:r>
          </w:p>
        </w:tc>
        <w:tc>
          <w:tcPr>
            <w:tcW w:type="dxa" w:w="1900"/>
            <w:shd w:fill="eef5f4" w:val="clear"/>
            <w:tcMar>
              <w:top w:type="dxa" w:w="100"/>
              <w:left w:type="dxa" w:w="120"/>
              <w:bottom w:type="dxa" w:w="100"/>
              <w:right w:type="dxa" w:w="120"/>
            </w:tcMar>
          </w:tcPr>
          <w:p>
            <w:pPr>
              <w:jc w:val="left"/>
            </w:pPr>
            <w:r>
              <w:rPr>
                <w:b w:val="false"/>
                <w:bCs w:val="false"/>
              </w:rPr>
              <w:t xml:space="preserve">À déprioriser (Phase 4+)</w:t>
            </w:r>
          </w:p>
        </w:tc>
        <w:tc>
          <w:tcPr>
            <w:tcW w:type="dxa" w:w="2700"/>
            <w:shd w:fill="eef5f4" w:val="clear"/>
            <w:tcMar>
              <w:top w:type="dxa" w:w="100"/>
              <w:left w:type="dxa" w:w="120"/>
              <w:bottom w:type="dxa" w:w="100"/>
              <w:right w:type="dxa" w:w="120"/>
            </w:tcMar>
          </w:tcPr>
          <w:p>
            <w:pPr>
              <w:jc w:val="left"/>
            </w:pPr>
            <w:r>
              <w:rPr>
                <w:b w:val="false"/>
                <w:bCs w:val="false"/>
              </w:rPr>
              <w:t xml:space="preserve">Pas un moteur de revenu direct ; éventuel avantage de rétention si lancé</w:t>
            </w:r>
          </w:p>
        </w:tc>
        <w:tc>
          <w:tcPr>
            <w:tcW w:type="dxa" w:w="2800"/>
            <w:shd w:fill="eef5f4" w:val="clear"/>
            <w:tcMar>
              <w:top w:type="dxa" w:w="100"/>
              <w:left w:type="dxa" w:w="120"/>
              <w:bottom w:type="dxa" w:w="100"/>
              <w:right w:type="dxa" w:w="120"/>
            </w:tcMar>
          </w:tcPr>
          <w:p>
            <w:pPr>
              <w:jc w:val="left"/>
            </w:pPr>
            <w:r>
              <w:rPr>
                <w:b w:val="false"/>
                <w:bCs w:val="false"/>
              </w:rPr>
              <w:t xml:space="preserve">Risque élevé : concurrence frontale avec des groupes Facebook/WhatsApp déjà installés à fort effet de réseau. À réserver à des niches précises (quartier, école) si tenté.</w:t>
            </w:r>
          </w:p>
        </w:tc>
      </w:tr>
      <w:tr>
        <w:tc>
          <w:tcPr>
            <w:tcW w:type="dxa" w:w="2200"/>
            <w:tcMar>
              <w:top w:type="dxa" w:w="100"/>
              <w:left w:type="dxa" w:w="120"/>
              <w:bottom w:type="dxa" w:w="100"/>
              <w:right w:type="dxa" w:w="120"/>
            </w:tcMar>
          </w:tcPr>
          <w:p>
            <w:pPr>
              <w:jc w:val="left"/>
            </w:pPr>
            <w:r>
              <w:rPr>
                <w:b w:val="false"/>
                <w:bCs w:val="false"/>
              </w:rPr>
              <w:t xml:space="preserve">Profils de coachs indépendants (sport, soins…)</w:t>
            </w:r>
          </w:p>
        </w:tc>
        <w:tc>
          <w:tcPr>
            <w:tcW w:type="dxa" w:w="1900"/>
            <w:tcMar>
              <w:top w:type="dxa" w:w="100"/>
              <w:left w:type="dxa" w:w="120"/>
              <w:bottom w:type="dxa" w:w="100"/>
              <w:right w:type="dxa" w:w="120"/>
            </w:tcMar>
          </w:tcPr>
          <w:p>
            <w:pPr>
              <w:jc w:val="left"/>
            </w:pPr>
            <w:r>
              <w:rPr>
                <w:b w:val="false"/>
                <w:bCs w:val="false"/>
              </w:rPr>
              <w:t xml:space="preserve">Funnel B2B existant (section 3), pas le Pass B2C</w:t>
            </w:r>
          </w:p>
        </w:tc>
        <w:tc>
          <w:tcPr>
            <w:tcW w:type="dxa" w:w="2700"/>
            <w:tcMar>
              <w:top w:type="dxa" w:w="100"/>
              <w:left w:type="dxa" w:w="120"/>
              <w:bottom w:type="dxa" w:w="100"/>
              <w:right w:type="dxa" w:w="120"/>
            </w:tcMar>
          </w:tcPr>
          <w:p>
            <w:pPr>
              <w:jc w:val="left"/>
            </w:pPr>
            <w:r>
              <w:rPr>
                <w:b w:val="false"/>
                <w:bCs w:val="false"/>
              </w:rPr>
              <w:t xml:space="preserve">Commission à l'entrée, abonnement Pro ensuite si volume</w:t>
            </w:r>
          </w:p>
        </w:tc>
        <w:tc>
          <w:tcPr>
            <w:tcW w:type="dxa" w:w="2800"/>
            <w:tcMar>
              <w:top w:type="dxa" w:w="100"/>
              <w:left w:type="dxa" w:w="120"/>
              <w:bottom w:type="dxa" w:w="100"/>
              <w:right w:type="dxa" w:w="120"/>
            </w:tcMar>
          </w:tcPr>
          <w:p>
            <w:pPr>
              <w:jc w:val="left"/>
            </w:pPr>
            <w:r>
              <w:rPr>
                <w:b w:val="false"/>
                <w:bCs w:val="false"/>
              </w:rPr>
              <w:t xml:space="preserve">Même dynamique qu'un prestataire d'activité réservable — les mélanger avec le Pass utilisateur brouillerait deux logiques de vente différentes.</w:t>
            </w:r>
          </w:p>
        </w:tc>
      </w:tr>
    </w:tbl>
    <w:p>
      <w:pPr>
        <w:spacing w:after="100"/>
      </w:pPr>
    </w:p>
    <w:p>
      <w:pPr>
        <w:pStyle w:val="Heading2"/>
        <w:spacing w:after="120" w:before="260"/>
      </w:pPr>
      <w:r>
        <w:t xml:space="preserve">Principe de séquencement</w:t>
      </w:r>
    </w:p>
    <w:p>
      <w:pPr>
        <w:pStyle w:val="ListParagraph"/>
        <w:numPr>
          <w:ilvl w:val="0"/>
          <w:numId w:val="1"/>
        </w:numPr>
        <w:spacing w:after="80"/>
      </w:pPr>
      <w:r>
        <w:rPr>
          <w:b/>
          <w:bCs/>
        </w:rPr>
        <w:t xml:space="preserve">Ne pas lancer trop tôt : </w:t>
      </w:r>
      <w:r>
        <w:t xml:space="preserve">une marketplace ou un fil d'événements n'a de valeur que s'il a de la densité — avec 20 annonces ou 2 événements, la fonctionnalité paraît vide et décrédibilise l'appli plutôt que de générer des revenus.</w:t>
      </w:r>
    </w:p>
    <w:p>
      <w:pPr>
        <w:pStyle w:val="ListParagraph"/>
        <w:numPr>
          <w:ilvl w:val="0"/>
          <w:numId w:val="1"/>
        </w:numPr>
        <w:spacing w:after="80"/>
      </w:pPr>
      <w:r>
        <w:rPr>
          <w:b/>
          <w:bCs/>
        </w:rPr>
        <w:t xml:space="preserve">Seuil de déclenchement suggéré : </w:t>
      </w:r>
      <w:r>
        <w:t xml:space="preserve">attendre une base active de l'ordre de 15 000–20 000 utilisateurs (repère Phase 2/3 de la projection de rentabilité) avant d'ouvrir la seconde main et les événements.</w:t>
      </w:r>
    </w:p>
    <w:p>
      <w:pPr>
        <w:pStyle w:val="ListParagraph"/>
        <w:numPr>
          <w:ilvl w:val="0"/>
          <w:numId w:val="1"/>
        </w:numPr>
        <w:spacing w:after="80"/>
      </w:pPr>
      <w:r>
        <w:rPr>
          <w:b/>
          <w:bCs/>
        </w:rPr>
        <w:t xml:space="preserve">Garder l'accès de base gratuit : </w:t>
      </w:r>
      <w:r>
        <w:t xml:space="preserve">sur la seconde main comme sur les événements, faire payer la simple consultation tuerait l'usage — le Pass doit vendre des avantages (mise en avant, accès prioritaire), pas l'accès lui-même.</w:t>
      </w:r>
    </w:p>
    <w:p>
      <w:pPr>
        <w:pStyle w:val="Heading1"/>
        <w:spacing w:after="160" w:before="360"/>
      </w:pPr>
      <w:r>
        <w:t xml:space="preserve">5. Ce qu'il faut retenir</w:t>
      </w:r>
    </w:p>
    <w:p>
      <w:pPr>
        <w:pStyle w:val="ListParagraph"/>
        <w:numPr>
          <w:ilvl w:val="0"/>
          <w:numId w:val="1"/>
        </w:numPr>
        <w:spacing w:after="80"/>
      </w:pPr>
      <w:r>
        <w:rPr>
          <w:b/>
          <w:bCs/>
        </w:rPr>
        <w:t xml:space="preserve">Aucun revenu significatif avant 2028 </w:t>
      </w:r>
      <w:r>
        <w:t xml:space="preserve">— la Phase 1 est délibérément gratuite pour construire la base d'utilisateurs et la preuve de trafic sans laquelle l'offre Pro ne se vend pas.</w:t>
      </w:r>
    </w:p>
    <w:p>
      <w:pPr>
        <w:pStyle w:val="ListParagraph"/>
        <w:numPr>
          <w:ilvl w:val="0"/>
          <w:numId w:val="1"/>
        </w:numPr>
        <w:spacing w:after="80"/>
      </w:pPr>
      <w:r>
        <w:rPr>
          <w:b/>
          <w:bCs/>
        </w:rPr>
        <w:t xml:space="preserve">Le point de bascule vers la rentabilité </w:t>
      </w:r>
      <w:r>
        <w:t xml:space="preserve">se situe entre la fin de Phase 2 et la Phase 3 (2028–2029), une fois les premiers abonnés Pro acquis.</w:t>
      </w:r>
    </w:p>
    <w:p>
      <w:pPr>
        <w:pStyle w:val="ListParagraph"/>
        <w:numPr>
          <w:ilvl w:val="0"/>
          <w:numId w:val="1"/>
        </w:numPr>
        <w:spacing w:after="80"/>
      </w:pPr>
      <w:r>
        <w:rPr>
          <w:b/>
          <w:bCs/>
        </w:rPr>
        <w:t xml:space="preserve">Le principal levier de rentabilité n'est pas le nombre d'utilisateurs, </w:t>
      </w:r>
      <w:r>
        <w:t xml:space="preserve">mais le taux de conversion des établissements en abonnés payants — c'est là que doit porter l'effort commercial à partir de 2028.</w:t>
      </w:r>
    </w:p>
    <w:p>
      <w:pPr>
        <w:pStyle w:val="ListParagraph"/>
        <w:numPr>
          <w:ilvl w:val="0"/>
          <w:numId w:val="1"/>
        </w:numPr>
        <w:spacing w:after="80"/>
      </w:pPr>
      <w:r>
        <w:rPr>
          <w:b/>
          <w:bCs/>
        </w:rPr>
        <w:t xml:space="preserve">La commission est la meilleure porte d'entrée commerciale : </w:t>
      </w:r>
      <w:r>
        <w:t xml:space="preserve">elle lève la principale objection des premiers partenaires (aucun risque financier) et peut être proposée dès la Phase 2, avant même d'avoir une offre abonnement mature.</w:t>
      </w:r>
    </w:p>
    <w:p>
      <w:pPr>
        <w:pStyle w:val="ListParagraph"/>
        <w:numPr>
          <w:ilvl w:val="0"/>
          <w:numId w:val="1"/>
        </w:numPr>
        <w:spacing w:after="80"/>
      </w:pPr>
      <w:r>
        <w:rPr>
          <w:b/>
          <w:bCs/>
        </w:rPr>
        <w:t xml:space="preserve">Le Pass Maurice (seconde main, événements) </w:t>
      </w:r>
      <w:r>
        <w:t xml:space="preserve">reste une option de diversification tardive (Phase 3–4), à n'activer qu'une fois la densité d'utilisateurs suffisante — pas un levier de rentabilité à court terme.</w:t>
      </w:r>
    </w:p>
    <w:p>
      <w:pPr>
        <w:pStyle w:val="ListParagraph"/>
        <w:numPr>
          <w:ilvl w:val="0"/>
          <w:numId w:val="1"/>
        </w:numPr>
        <w:spacing w:after="80"/>
      </w:pPr>
      <w:r>
        <w:rPr>
          <w:b/>
          <w:bCs/>
        </w:rPr>
        <w:t xml:space="preserve">Les tchats thématiques sont à écarter pour l'instant </w:t>
      </w:r>
      <w:r>
        <w:t xml:space="preserve">(concurrence frontale avec des groupes Facebook déjà installés), et les coachs indépendants relèvent du funnel B2B, pas du Pass utilisateur.</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0e8b84"/>
      <w:sz w:val="30"/>
      <w:szCs w:val="30"/>
    </w:rPr>
  </w:style>
  <w:style w:type="paragraph" w:styleId="Heading2">
    <w:name w:val="Heading 2"/>
    <w:basedOn w:val="Normal"/>
    <w:next w:val="Normal"/>
    <w:qFormat/>
    <w:pPr>
      <w:spacing w:after="120" w:before="260"/>
    </w:pPr>
    <w:rPr>
      <w:b/>
      <w:bCs/>
      <w:color w:val="1a2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2026-07-11T04:05:07.701Z</dcterms:created>
  <dcterms:modified xsi:type="dcterms:W3CDTF">2026-07-11T04:05:07.704Z</dcterms:modified>
</cp:coreProperties>
</file>

<file path=docProps/custom.xml><?xml version="1.0" encoding="utf-8"?>
<Properties xmlns="http://schemas.openxmlformats.org/officeDocument/2006/custom-properties" xmlns:vt="http://schemas.openxmlformats.org/officeDocument/2006/docPropsVTypes"/>
</file>