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680" behindDoc="0" locked="0" layoutInCell="1" allowOverlap="1" wp14:anchorId="4BEC809E" wp14:editId="416A6759">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DC2689" w:rsidRPr="009D587A" w:rsidRDefault="00DC2689" w:rsidP="0062608E">
                            <w:pPr>
                              <w:pStyle w:val="Titel"/>
                            </w:pPr>
                            <w:r w:rsidRPr="009D587A">
                              <w:t>Möglichkeiten zur Kontrolle und Steuerung der Kommunikation von Microservices</w:t>
                            </w:r>
                          </w:p>
                          <w:p w14:paraId="5BE0303A" w14:textId="72F3F0F4" w:rsidR="00DC2689" w:rsidRPr="00BF0354" w:rsidRDefault="00DC2689"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68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DC2689" w:rsidRPr="009D587A" w:rsidRDefault="00DC2689" w:rsidP="0062608E">
                      <w:pPr>
                        <w:pStyle w:val="Titel"/>
                      </w:pPr>
                      <w:r w:rsidRPr="009D587A">
                        <w:t>Möglichkeiten zur Kontrolle und Steuerung der Kommunikation von Microservices</w:t>
                      </w:r>
                    </w:p>
                    <w:p w14:paraId="5BE0303A" w14:textId="72F3F0F4" w:rsidR="00DC2689" w:rsidRPr="00BF0354" w:rsidRDefault="00DC2689"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7728" behindDoc="0" locked="0" layoutInCell="1" allowOverlap="1" wp14:anchorId="19480FD6" wp14:editId="2A0B994D">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DC2689" w:rsidRDefault="00DC2689" w:rsidP="00BF7EB9">
                            <w:pPr>
                              <w:pStyle w:val="Untertitel"/>
                              <w:rPr>
                                <w:b/>
                              </w:rPr>
                            </w:pPr>
                            <w:r w:rsidRPr="00111AC6">
                              <w:rPr>
                                <w:b/>
                              </w:rPr>
                              <w:t>Bachelorarbeit</w:t>
                            </w:r>
                          </w:p>
                          <w:p w14:paraId="60578AAC" w14:textId="77777777" w:rsidR="00DC2689" w:rsidRPr="00BF0354" w:rsidRDefault="00DC2689" w:rsidP="00BF7EB9">
                            <w:pPr>
                              <w:pStyle w:val="Untertitel"/>
                            </w:pPr>
                            <w:r w:rsidRPr="00BF0354">
                              <w:t>im Studiengang</w:t>
                            </w:r>
                            <w:r w:rsidRPr="00BF0354">
                              <w:br/>
                            </w:r>
                            <w:r>
                              <w:t>Softwaretechnik und Medieninformatik</w:t>
                            </w:r>
                          </w:p>
                          <w:p w14:paraId="196FD6B5" w14:textId="77777777" w:rsidR="00DC2689" w:rsidRDefault="00DC2689" w:rsidP="005D26BD">
                            <w:pPr>
                              <w:pStyle w:val="Untertitel"/>
                            </w:pPr>
                            <w:r>
                              <w:t>vorgelegt von</w:t>
                            </w:r>
                          </w:p>
                          <w:p w14:paraId="728C98A5" w14:textId="0D8F4D8E" w:rsidR="00DC2689" w:rsidRDefault="00DC2689" w:rsidP="00BA7590">
                            <w:pPr>
                              <w:pStyle w:val="Untertitel"/>
                            </w:pPr>
                            <w:r>
                              <w:rPr>
                                <w:b/>
                              </w:rPr>
                              <w:t>Gerrit Wildermuth</w:t>
                            </w:r>
                            <w:r>
                              <w:rPr>
                                <w:b/>
                              </w:rPr>
                              <w:br/>
                            </w:r>
                            <w:r>
                              <w:t>Matr.-Nr.: 74734</w:t>
                            </w:r>
                          </w:p>
                          <w:p w14:paraId="16C8E94E" w14:textId="77777777" w:rsidR="00DC2689" w:rsidRPr="00BA7590" w:rsidRDefault="00DC2689"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DC2689" w:rsidRDefault="00DC2689" w:rsidP="00BF7EB9">
                      <w:pPr>
                        <w:pStyle w:val="Untertitel"/>
                        <w:rPr>
                          <w:b/>
                        </w:rPr>
                      </w:pPr>
                      <w:r w:rsidRPr="00111AC6">
                        <w:rPr>
                          <w:b/>
                        </w:rPr>
                        <w:t>Bachelorarbeit</w:t>
                      </w:r>
                    </w:p>
                    <w:p w14:paraId="60578AAC" w14:textId="77777777" w:rsidR="00DC2689" w:rsidRPr="00BF0354" w:rsidRDefault="00DC2689" w:rsidP="00BF7EB9">
                      <w:pPr>
                        <w:pStyle w:val="Untertitel"/>
                      </w:pPr>
                      <w:r w:rsidRPr="00BF0354">
                        <w:t>im Studiengang</w:t>
                      </w:r>
                      <w:r w:rsidRPr="00BF0354">
                        <w:br/>
                      </w:r>
                      <w:r>
                        <w:t>Softwaretechnik und Medieninformatik</w:t>
                      </w:r>
                    </w:p>
                    <w:p w14:paraId="196FD6B5" w14:textId="77777777" w:rsidR="00DC2689" w:rsidRDefault="00DC2689" w:rsidP="005D26BD">
                      <w:pPr>
                        <w:pStyle w:val="Untertitel"/>
                      </w:pPr>
                      <w:r>
                        <w:t>vorgelegt von</w:t>
                      </w:r>
                    </w:p>
                    <w:p w14:paraId="728C98A5" w14:textId="0D8F4D8E" w:rsidR="00DC2689" w:rsidRDefault="00DC2689" w:rsidP="00BA7590">
                      <w:pPr>
                        <w:pStyle w:val="Untertitel"/>
                      </w:pPr>
                      <w:r>
                        <w:rPr>
                          <w:b/>
                        </w:rPr>
                        <w:t>Gerrit Wildermuth</w:t>
                      </w:r>
                      <w:r>
                        <w:rPr>
                          <w:b/>
                        </w:rPr>
                        <w:br/>
                      </w:r>
                      <w:r>
                        <w:t>Matr.-Nr.: 74734</w:t>
                      </w:r>
                    </w:p>
                    <w:p w14:paraId="16C8E94E" w14:textId="77777777" w:rsidR="00DC2689" w:rsidRPr="00BA7590" w:rsidRDefault="00DC2689"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9776" behindDoc="0" locked="0" layoutInCell="1" allowOverlap="1" wp14:anchorId="5FD2B045" wp14:editId="1A04DBE4">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DC2689" w:rsidRPr="00BF0354" w:rsidRDefault="00DC2689"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9776;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DC2689" w:rsidRPr="00BF0354" w:rsidRDefault="00DC2689"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0308043"/>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0308044"/>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0308045"/>
      <w:r>
        <w:lastRenderedPageBreak/>
        <w:t>Inhaltsverzeichnis</w:t>
      </w:r>
      <w:bookmarkEnd w:id="4"/>
      <w:bookmarkEnd w:id="5"/>
    </w:p>
    <w:p w14:paraId="3875539B" w14:textId="181B1EEC" w:rsidR="008E6CDA"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8E6CDA">
        <w:t>Kurzfassung</w:t>
      </w:r>
      <w:r w:rsidR="008E6CDA">
        <w:tab/>
      </w:r>
      <w:r w:rsidR="008E6CDA">
        <w:fldChar w:fldCharType="begin"/>
      </w:r>
      <w:r w:rsidR="008E6CDA">
        <w:instrText xml:space="preserve"> PAGEREF _Toc20308043 \h </w:instrText>
      </w:r>
      <w:r w:rsidR="008E6CDA">
        <w:fldChar w:fldCharType="separate"/>
      </w:r>
      <w:r w:rsidR="008E6CDA">
        <w:t>2</w:t>
      </w:r>
      <w:r w:rsidR="008E6CDA">
        <w:fldChar w:fldCharType="end"/>
      </w:r>
    </w:p>
    <w:p w14:paraId="0815451E" w14:textId="44D83518" w:rsidR="008E6CDA" w:rsidRDefault="008E6CDA">
      <w:pPr>
        <w:pStyle w:val="Verzeichnis1"/>
        <w:rPr>
          <w:rFonts w:asciiTheme="minorHAnsi" w:eastAsiaTheme="minorEastAsia" w:hAnsiTheme="minorHAnsi" w:cstheme="minorBidi"/>
          <w:b w:val="0"/>
          <w:sz w:val="22"/>
          <w:szCs w:val="22"/>
        </w:rPr>
      </w:pPr>
      <w:r w:rsidRPr="008E6CDA">
        <w:t>Abstract</w:t>
      </w:r>
      <w:r>
        <w:tab/>
      </w:r>
      <w:r>
        <w:fldChar w:fldCharType="begin"/>
      </w:r>
      <w:r>
        <w:instrText xml:space="preserve"> PAGEREF _Toc20308044 \h </w:instrText>
      </w:r>
      <w:r>
        <w:fldChar w:fldCharType="separate"/>
      </w:r>
      <w:r>
        <w:t>2</w:t>
      </w:r>
      <w:r>
        <w:fldChar w:fldCharType="end"/>
      </w:r>
    </w:p>
    <w:p w14:paraId="33094147" w14:textId="1A2F4C0E" w:rsidR="008E6CDA" w:rsidRDefault="008E6CDA">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_Toc20308045 \h </w:instrText>
      </w:r>
      <w:r>
        <w:fldChar w:fldCharType="separate"/>
      </w:r>
      <w:r>
        <w:t>3</w:t>
      </w:r>
      <w:r>
        <w:fldChar w:fldCharType="end"/>
      </w:r>
    </w:p>
    <w:p w14:paraId="051A0F2C" w14:textId="39F35D6F" w:rsidR="008E6CDA" w:rsidRDefault="008E6CDA">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_Toc20308046 \h </w:instrText>
      </w:r>
      <w:r>
        <w:fldChar w:fldCharType="separate"/>
      </w:r>
      <w:r>
        <w:t>4</w:t>
      </w:r>
      <w:r>
        <w:fldChar w:fldCharType="end"/>
      </w:r>
    </w:p>
    <w:p w14:paraId="53C4BE4F" w14:textId="41FA6D37" w:rsidR="008E6CDA" w:rsidRDefault="008E6CDA">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_Toc20308047 \h </w:instrText>
      </w:r>
      <w:r>
        <w:fldChar w:fldCharType="separate"/>
      </w:r>
      <w:r>
        <w:t>4</w:t>
      </w:r>
      <w:r>
        <w:fldChar w:fldCharType="end"/>
      </w:r>
    </w:p>
    <w:p w14:paraId="3DC5C6CC" w14:textId="2C797895" w:rsidR="008E6CDA" w:rsidRDefault="008E6CDA">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_Toc20308048 \h </w:instrText>
      </w:r>
      <w:r>
        <w:fldChar w:fldCharType="separate"/>
      </w:r>
      <w:r>
        <w:t>4</w:t>
      </w:r>
      <w:r>
        <w:fldChar w:fldCharType="end"/>
      </w:r>
    </w:p>
    <w:p w14:paraId="676861BD" w14:textId="7B95FFAE" w:rsidR="008E6CDA" w:rsidRDefault="008E6CDA">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_Toc20308049 \h </w:instrText>
      </w:r>
      <w:r>
        <w:fldChar w:fldCharType="separate"/>
      </w:r>
      <w:r>
        <w:t>5</w:t>
      </w:r>
      <w:r>
        <w:fldChar w:fldCharType="end"/>
      </w:r>
    </w:p>
    <w:p w14:paraId="2A7A8380" w14:textId="63820A40" w:rsidR="008E6CDA" w:rsidRDefault="008E6CDA">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_Toc20308050 \h </w:instrText>
      </w:r>
      <w:r>
        <w:fldChar w:fldCharType="separate"/>
      </w:r>
      <w:r>
        <w:t>6</w:t>
      </w:r>
      <w:r>
        <w:fldChar w:fldCharType="end"/>
      </w:r>
    </w:p>
    <w:p w14:paraId="3913984C" w14:textId="1AE95409" w:rsidR="008E6CDA" w:rsidRDefault="008E6CDA">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_Toc20308051 \h </w:instrText>
      </w:r>
      <w:r>
        <w:fldChar w:fldCharType="separate"/>
      </w:r>
      <w:r>
        <w:t>7</w:t>
      </w:r>
      <w:r>
        <w:fldChar w:fldCharType="end"/>
      </w:r>
    </w:p>
    <w:p w14:paraId="3FC66A6F" w14:textId="11C75C43" w:rsidR="008E6CDA" w:rsidRDefault="008E6CDA">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_Toc20308052 \h </w:instrText>
      </w:r>
      <w:r>
        <w:fldChar w:fldCharType="separate"/>
      </w:r>
      <w:r>
        <w:t>8</w:t>
      </w:r>
      <w:r>
        <w:fldChar w:fldCharType="end"/>
      </w:r>
    </w:p>
    <w:p w14:paraId="39EE0176" w14:textId="75D31A08" w:rsidR="008E6CDA" w:rsidRDefault="008E6CDA">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_Toc20308053 \h </w:instrText>
      </w:r>
      <w:r>
        <w:fldChar w:fldCharType="separate"/>
      </w:r>
      <w:r>
        <w:t>9</w:t>
      </w:r>
      <w:r>
        <w:fldChar w:fldCharType="end"/>
      </w:r>
    </w:p>
    <w:p w14:paraId="7ABADD3C" w14:textId="51E5D61D" w:rsidR="008E6CDA" w:rsidRDefault="008E6CDA">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_Toc20308054 \h </w:instrText>
      </w:r>
      <w:r>
        <w:fldChar w:fldCharType="separate"/>
      </w:r>
      <w:r>
        <w:t>10</w:t>
      </w:r>
      <w:r>
        <w:fldChar w:fldCharType="end"/>
      </w:r>
    </w:p>
    <w:p w14:paraId="6DC65109" w14:textId="4AF84687" w:rsidR="008E6CDA" w:rsidRDefault="008E6CDA">
      <w:pPr>
        <w:pStyle w:val="Verzeichnis1"/>
        <w:rPr>
          <w:rFonts w:asciiTheme="minorHAnsi" w:eastAsiaTheme="minorEastAsia" w:hAnsiTheme="minorHAnsi" w:cstheme="minorBidi"/>
          <w:b w:val="0"/>
          <w:sz w:val="22"/>
          <w:szCs w:val="22"/>
        </w:rPr>
      </w:pPr>
      <w:r>
        <w:t>Literaturverzeichnis</w:t>
      </w:r>
      <w:r>
        <w:tab/>
      </w:r>
      <w:r>
        <w:fldChar w:fldCharType="begin"/>
      </w:r>
      <w:r>
        <w:instrText xml:space="preserve"> PAGEREF _Toc20308055 \h </w:instrText>
      </w:r>
      <w:r>
        <w:fldChar w:fldCharType="separate"/>
      </w:r>
      <w:r>
        <w:t>11</w:t>
      </w:r>
      <w:r>
        <w:fldChar w:fldCharType="end"/>
      </w:r>
    </w:p>
    <w:p w14:paraId="6C1FCB6A" w14:textId="004B6CAE" w:rsidR="008E6CDA" w:rsidRDefault="008E6CDA">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_Toc20308056 \h </w:instrText>
      </w:r>
      <w:r>
        <w:fldChar w:fldCharType="separate"/>
      </w:r>
      <w:r>
        <w:t>12</w:t>
      </w:r>
      <w:r>
        <w:fldChar w:fldCharType="end"/>
      </w:r>
    </w:p>
    <w:p w14:paraId="1ACB992C" w14:textId="4DE99E30" w:rsidR="008E6CDA" w:rsidRDefault="008E6CDA">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_Toc20308057 \h </w:instrText>
      </w:r>
      <w:r>
        <w:fldChar w:fldCharType="separate"/>
      </w:r>
      <w:r>
        <w:t>13</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0308046"/>
      <w:r>
        <w:t>Abbildungsverzeichnis</w:t>
      </w:r>
      <w:bookmarkEnd w:id="6"/>
    </w:p>
    <w:p w14:paraId="56F5FE89" w14:textId="10E94973" w:rsidR="00284FA6" w:rsidRDefault="001D3707">
      <w:r>
        <w:rPr>
          <w:b/>
          <w:bCs/>
          <w:noProof/>
        </w:rPr>
        <w:fldChar w:fldCharType="begin"/>
      </w:r>
      <w:r>
        <w:rPr>
          <w:b/>
          <w:bCs/>
          <w:noProof/>
        </w:rPr>
        <w:instrText xml:space="preserve"> TOC \c "Abbildung" </w:instrText>
      </w:r>
      <w:r>
        <w:rPr>
          <w:b/>
          <w:bCs/>
          <w:noProof/>
        </w:rPr>
        <w:fldChar w:fldCharType="separate"/>
      </w:r>
      <w:r w:rsidR="008E6CDA">
        <w:rPr>
          <w:b/>
          <w:bCs/>
          <w:noProof/>
        </w:rPr>
        <w:t>Es konnten keine Einträge für ein Abbildungsverzeichnis gefunden werden.</w:t>
      </w:r>
      <w:r>
        <w:rPr>
          <w:b/>
          <w:bCs/>
          <w:noProof/>
        </w:rPr>
        <w:fldChar w:fldCharType="end"/>
      </w:r>
    </w:p>
    <w:p w14:paraId="3632BD44" w14:textId="77777777" w:rsidR="00284FA6" w:rsidRDefault="00284FA6">
      <w:pPr>
        <w:pStyle w:val="berschrift1"/>
        <w:pageBreakBefore w:val="0"/>
        <w:numPr>
          <w:ilvl w:val="0"/>
          <w:numId w:val="0"/>
        </w:numPr>
      </w:pPr>
      <w:bookmarkStart w:id="7" w:name="_Toc20308047"/>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0308048"/>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3660A3">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0308049"/>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r>
        <w:t>HdM</w:t>
      </w:r>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0308050"/>
      <w:r>
        <w:lastRenderedPageBreak/>
        <w:t>Überblick</w:t>
      </w:r>
      <w:bookmarkEnd w:id="10"/>
      <w:bookmarkEnd w:id="11"/>
      <w:r w:rsidR="000321E7">
        <w:t>/Einleitung</w:t>
      </w:r>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„Healthchecks“(Lebst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r>
        <w:lastRenderedPageBreak/>
        <w:t>Microservices</w:t>
      </w:r>
    </w:p>
    <w:p w14:paraId="29896CA5" w14:textId="3B30A247" w:rsidR="00A72970" w:rsidRDefault="00A030D0" w:rsidP="00A56D5D">
      <w:pPr>
        <w:pStyle w:val="berschrift2"/>
      </w:pPr>
      <w:r>
        <w:rPr>
          <w:noProof/>
        </w:rPr>
        <mc:AlternateContent>
          <mc:Choice Requires="wps">
            <w:drawing>
              <wp:anchor distT="0" distB="0" distL="114300" distR="114300" simplePos="0" relativeHeight="251661312" behindDoc="0" locked="0" layoutInCell="1" allowOverlap="1" wp14:anchorId="595B3D61" wp14:editId="47748727">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DC2689" w:rsidRPr="008A5BA7" w:rsidRDefault="00DC2689" w:rsidP="00DC2689">
                            <w:pPr>
                              <w:pStyle w:val="Beschriftung"/>
                              <w:rPr>
                                <w:rFonts w:ascii="Arial" w:hAnsi="Arial"/>
                                <w:b/>
                                <w:noProof/>
                                <w:kern w:val="28"/>
                                <w:sz w:val="28"/>
                              </w:rPr>
                            </w:pPr>
                            <w:r>
                              <w:t xml:space="preserve">Abbildung </w:t>
                            </w:r>
                            <w:r w:rsidR="0018298B">
                              <w:rPr>
                                <w:noProof/>
                              </w:rPr>
                              <w:fldChar w:fldCharType="begin"/>
                            </w:r>
                            <w:r w:rsidR="0018298B">
                              <w:rPr>
                                <w:noProof/>
                              </w:rPr>
                              <w:instrText xml:space="preserve"> SEQ Abbildung \* ARABIC </w:instrText>
                            </w:r>
                            <w:r w:rsidR="0018298B">
                              <w:rPr>
                                <w:noProof/>
                              </w:rPr>
                              <w:fldChar w:fldCharType="separate"/>
                            </w:r>
                            <w:r>
                              <w:rPr>
                                <w:noProof/>
                              </w:rPr>
                              <w:t>1</w:t>
                            </w:r>
                            <w:r w:rsidR="0018298B">
                              <w:rPr>
                                <w:noProof/>
                              </w:rPr>
                              <w:fldChar w:fldCharType="end"/>
                            </w:r>
                            <w:r w:rsidRPr="00DC2689">
                              <w:t xml:space="preserve"> </w:t>
                            </w:r>
                            <w:r>
                              <w:t>Monolith gegen Microservices Quelle: Eigene Darstellung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DC2689" w:rsidRPr="008A5BA7" w:rsidRDefault="00DC2689" w:rsidP="00DC2689">
                      <w:pPr>
                        <w:pStyle w:val="Beschriftung"/>
                        <w:rPr>
                          <w:rFonts w:ascii="Arial" w:hAnsi="Arial"/>
                          <w:b/>
                          <w:noProof/>
                          <w:kern w:val="28"/>
                          <w:sz w:val="28"/>
                        </w:rPr>
                      </w:pPr>
                      <w:r>
                        <w:t xml:space="preserve">Abbildung </w:t>
                      </w:r>
                      <w:r w:rsidR="0018298B">
                        <w:rPr>
                          <w:noProof/>
                        </w:rPr>
                        <w:fldChar w:fldCharType="begin"/>
                      </w:r>
                      <w:r w:rsidR="0018298B">
                        <w:rPr>
                          <w:noProof/>
                        </w:rPr>
                        <w:instrText xml:space="preserve"> SEQ Abbildung \* ARABIC </w:instrText>
                      </w:r>
                      <w:r w:rsidR="0018298B">
                        <w:rPr>
                          <w:noProof/>
                        </w:rPr>
                        <w:fldChar w:fldCharType="separate"/>
                      </w:r>
                      <w:r>
                        <w:rPr>
                          <w:noProof/>
                        </w:rPr>
                        <w:t>1</w:t>
                      </w:r>
                      <w:r w:rsidR="0018298B">
                        <w:rPr>
                          <w:noProof/>
                        </w:rPr>
                        <w:fldChar w:fldCharType="end"/>
                      </w:r>
                      <w:r w:rsidRPr="00DC2689">
                        <w:t xml:space="preserve"> </w:t>
                      </w:r>
                      <w:r>
                        <w:t>Monolith gegen Microservices Quelle: Eigene Darstellung</w:t>
                      </w:r>
                    </w:p>
                  </w:txbxContent>
                </v:textbox>
                <w10:wrap type="topAndBottom"/>
              </v:shape>
            </w:pict>
          </mc:Fallback>
        </mc:AlternateContent>
      </w:r>
      <w:r>
        <w:rPr>
          <w:noProof/>
        </w:rPr>
        <w:drawing>
          <wp:anchor distT="0" distB="0" distL="114300" distR="114300" simplePos="0" relativeHeight="251645952" behindDoc="0" locked="0" layoutInCell="1" allowOverlap="1" wp14:anchorId="390BF659" wp14:editId="5C71CE64">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p>
    <w:p w14:paraId="29E77D4A" w14:textId="05F47022" w:rsidR="00A72970" w:rsidRDefault="00A56D5D" w:rsidP="00A56D5D">
      <w:pPr>
        <w:pStyle w:val="berschrift3"/>
      </w:pPr>
      <w:r>
        <w:t>Monolith</w:t>
      </w:r>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r>
        <w:t>Microservices</w:t>
      </w:r>
    </w:p>
    <w:p w14:paraId="4DA36A26" w14:textId="610C1853" w:rsidR="00AC4074" w:rsidRDefault="000512D5" w:rsidP="00AC4074">
      <w:pPr>
        <w:pStyle w:val="berschrift4"/>
      </w:pPr>
      <w:r>
        <w:t>Einführung</w:t>
      </w:r>
    </w:p>
    <w:p w14:paraId="4CBD1AA0" w14:textId="11A6C365"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EndPr/>
        <w:sdtContent>
          <w:r w:rsidR="005E2B7B">
            <w:fldChar w:fldCharType="begin"/>
          </w:r>
          <w:r w:rsidR="008326BB">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C0wOVQxMjo1NTozMC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r w:rsidR="005E2B7B">
            <w:t>(Stephan Augsten 2017)</w:t>
          </w:r>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701248" behindDoc="0" locked="1" layoutInCell="1" allowOverlap="1" wp14:anchorId="6F8FF664" wp14:editId="1507A966">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1" layoutInCell="1" allowOverlap="1" wp14:anchorId="066564A4" wp14:editId="61FA6414">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AC4074" w:rsidRPr="00CB63A5" w:rsidRDefault="00AC4074" w:rsidP="00AC4074">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0" w:history="1">
                              <w:r>
                                <w:rPr>
                                  <w:rStyle w:val="Hyperlink"/>
                                </w:rPr>
                                <w:t>https://codingthesmartway.com/wp-content/uploads/2019/02/010-1024x500.png</w:t>
                              </w:r>
                            </w:hyperlink>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AC4074" w:rsidRPr="00CB63A5" w:rsidRDefault="00AC4074" w:rsidP="00AC4074">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1" w:history="1">
                        <w:r>
                          <w:rPr>
                            <w:rStyle w:val="Hyperlink"/>
                          </w:rPr>
                          <w:t>https://codingthesmartway.com/wp-content/uploads/2019/02/010-1024x500.png</w:t>
                        </w:r>
                      </w:hyperlink>
                      <w:r>
                        <w:t>)</w:t>
                      </w:r>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Micoservice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Die Notwendigkeit, der Verwendung von Docker oder Kubernetes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FEBCA2C"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z.B. mehrfach </w:t>
      </w:r>
      <w:r w:rsidRPr="001B6F05">
        <w:t>kaskadieren</w:t>
      </w:r>
      <w:r>
        <w:t>d ist).</w:t>
      </w:r>
    </w:p>
    <w:p w14:paraId="1755DDD2" w14:textId="69334F23" w:rsidR="00A77891" w:rsidRDefault="00A72970" w:rsidP="00A77891">
      <w:pPr>
        <w:pStyle w:val="berschrift2"/>
      </w:pPr>
      <w:r>
        <w:t>Verteilte Systeme</w:t>
      </w:r>
    </w:p>
    <w:p w14:paraId="706FDC7C" w14:textId="32FB8392" w:rsidR="00A77891" w:rsidRDefault="00AC4074" w:rsidP="00AC4074">
      <w:pPr>
        <w:pStyle w:val="berschrift3"/>
      </w:pPr>
      <w:r>
        <w:t>Definition</w:t>
      </w:r>
    </w:p>
    <w:p w14:paraId="5682862E" w14:textId="253DFDB9"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EndPr/>
        <w:sdtContent>
          <w:r>
            <w:fldChar w:fldCharType="begin"/>
          </w:r>
          <w:r w:rsidR="008326BB">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AtMDlUMTI6NTU6MzA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r w:rsidRPr="001C60B5">
            <w:t>(Andrew S. Tanenbaum 2006)</w:t>
          </w:r>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2340A0">
      <w:pPr>
        <w:pStyle w:val="berschrift3"/>
      </w:pPr>
      <w:r>
        <w:t>Orchestrierung</w:t>
      </w:r>
    </w:p>
    <w:p w14:paraId="4656017E" w14:textId="718EAC73" w:rsidR="00DE0888" w:rsidRDefault="00DE0888" w:rsidP="00A77891">
      <w:r w:rsidRPr="00DE0888">
        <w:t xml:space="preserve">Es wird besonders wichtig, wenn man ein verteiltes System mit einer Microservice Architektur verwirklicht, dass durch die deutlich größere Anzahl an Services und die </w:t>
      </w:r>
      <w:r w:rsidRPr="00DE0888">
        <w:lastRenderedPageBreak/>
        <w:t>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Orchestratoren und werden dafür benutzt diese Container automatisiert zu konfigurieren, koordinieren und zu managen. Sie unterscheiden sich hierbei natürlich in Funktionalität und Handhabung. In unseren Untersuchungen, werden wir zu der Orchestrierungs Plattform Kubernetes zurückgreifen, da sie zum Zeitpunkt der Thesis die am weitesten verbreitete Plattform ist und diese wohl auch noch eine Weile sein wird.</w:t>
      </w:r>
    </w:p>
    <w:p w14:paraId="09ED4300" w14:textId="4E889959" w:rsidR="00D5231B" w:rsidRDefault="00462CDB" w:rsidP="00A77891">
      <w:pPr>
        <w:pStyle w:val="berschrift3"/>
      </w:pPr>
      <w:r>
        <w:t>Netzwerk/</w:t>
      </w:r>
      <w:r w:rsidR="00D5231B">
        <w:t>Kommunikation</w:t>
      </w:r>
      <w:r w:rsidR="00AC4074">
        <w:t xml:space="preserve"> in einem Verteilten System</w:t>
      </w:r>
    </w:p>
    <w:p w14:paraId="7D167514" w14:textId="2B98C0B8"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z.B. verzögerte Wiederholungen ausgeführt werden, Teilinformationen abgerufen oder gar noch gecachte Informationen weiter verwendet werden.</w:t>
      </w:r>
    </w:p>
    <w:p w14:paraId="0B843632" w14:textId="47BEED38" w:rsidR="008909E1" w:rsidRDefault="008909E1" w:rsidP="008D22FA">
      <w:pPr>
        <w:pStyle w:val="berschrift3"/>
      </w:pPr>
      <w:r>
        <w:t>Von Fehler Potential zu Robustheit</w:t>
      </w:r>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4647D910" w:rsidR="000A12DB" w:rsidRDefault="000A12DB" w:rsidP="00DD2BDB">
      <w:sdt>
        <w:sdtPr>
          <w:alias w:val="Don't edit this field"/>
          <w:tag w:val="CitaviPlaceholder#7a90098d-0372-4d67-b34b-51ce2968c90d"/>
          <w:id w:val="433945387"/>
          <w:placeholder>
            <w:docPart w:val="DefaultPlaceholder_1081868574"/>
          </w:placeholder>
        </w:sdtPr>
        <w:sdtContent>
          <w:r>
            <w:fldChar w:fldCharType="begin"/>
          </w:r>
          <w:r>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}</w:instrText>
          </w:r>
          <w:r>
            <w:fldChar w:fldCharType="separate"/>
          </w:r>
          <w:r>
            <w:t>(Arnon Rotem-Gal-Oz)</w:t>
          </w:r>
          <w:r>
            <w:fldChar w:fldCharType="end"/>
          </w:r>
        </w:sdtContent>
      </w:sdt>
    </w:p>
    <w:p w14:paraId="5D045D82" w14:textId="22342A4F" w:rsidR="008909E1" w:rsidRDefault="00AA6F54" w:rsidP="00DD2BDB">
      <w:r>
        <w:lastRenderedPageBreak/>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A030D0">
      <w:pPr>
        <w:pStyle w:val="berschrift3"/>
      </w:pPr>
      <w:r>
        <w:t>Daten Beständigkeit</w:t>
      </w:r>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7F1B38A1" w14:textId="77777777" w:rsidR="006A6BA9" w:rsidRDefault="006A6BA9" w:rsidP="006A6BA9">
      <w:pPr>
        <w:pStyle w:val="berschrift2"/>
      </w:pPr>
      <w:r>
        <w:t>Ein Robustes verteiltes System/</w:t>
      </w:r>
    </w:p>
    <w:p w14:paraId="352BF236" w14:textId="244690A4" w:rsidR="006A6BA9" w:rsidRPr="006A6BA9" w:rsidRDefault="006A6BA9" w:rsidP="006A6BA9">
      <w:pPr>
        <w:pStyle w:val="berschrift2"/>
      </w:pPr>
      <w:r>
        <w:t>/</w:t>
      </w:r>
      <w:bookmarkStart w:id="12" w:name="_GoBack"/>
      <w:bookmarkEnd w:id="12"/>
      <w:r>
        <w:t>Wie man ein verteiltes System Robust macht</w:t>
      </w:r>
    </w:p>
    <w:p w14:paraId="2EF7B7D7" w14:textId="3140E0A2" w:rsidR="00A72970" w:rsidRDefault="006A6BA9" w:rsidP="0062608E">
      <w:r>
        <w:t>Wie geht man die Fehlerquellen in verteilten System an?</w:t>
      </w:r>
    </w:p>
    <w:p w14:paraId="45DFAEC7" w14:textId="2C96EDC2" w:rsidR="006A6BA9" w:rsidRDefault="006A6BA9" w:rsidP="0062608E">
      <w:r>
        <w:t>Die Fehlerquellen/Challanges in detail</w:t>
      </w:r>
    </w:p>
    <w:p w14:paraId="20F6869D" w14:textId="77777777" w:rsidR="006A6BA9" w:rsidRDefault="006A6BA9" w:rsidP="0062608E"/>
    <w:p w14:paraId="70548D51" w14:textId="77777777" w:rsidR="00A72970" w:rsidRDefault="00A72970" w:rsidP="0062608E"/>
    <w:p w14:paraId="76BE50F0" w14:textId="77777777" w:rsidR="00A72970" w:rsidRDefault="00A72970" w:rsidP="0062608E"/>
    <w:p w14:paraId="7E33F268" w14:textId="77777777" w:rsidR="00A72970" w:rsidRPr="0062608E" w:rsidRDefault="00A72970" w:rsidP="0062608E"/>
    <w:p w14:paraId="00A3C7B0" w14:textId="77777777" w:rsidR="008E6CDA" w:rsidRDefault="008E6CDA"/>
    <w:p w14:paraId="7AC2BA6D" w14:textId="77777777" w:rsidR="00284FA6" w:rsidRDefault="00284FA6">
      <w:pPr>
        <w:pStyle w:val="berschrift1"/>
      </w:pPr>
      <w:bookmarkStart w:id="13" w:name="_Toc20308053"/>
      <w:r>
        <w:lastRenderedPageBreak/>
        <w:t>Zusammenfassung und Ausblick</w:t>
      </w:r>
      <w:bookmarkEnd w:id="13"/>
    </w:p>
    <w:p w14:paraId="76A7DD87" w14:textId="77777777" w:rsidR="00284FA6" w:rsidRDefault="00284FA6">
      <w:pPr>
        <w:pStyle w:val="berschrift1"/>
        <w:numPr>
          <w:ilvl w:val="0"/>
          <w:numId w:val="0"/>
        </w:numPr>
      </w:pPr>
      <w:bookmarkStart w:id="14" w:name="_Ref492657968"/>
      <w:bookmarkStart w:id="15" w:name="_Toc20308054"/>
      <w:r>
        <w:lastRenderedPageBreak/>
        <w:t>Glossar</w:t>
      </w:r>
      <w:bookmarkEnd w:id="14"/>
      <w:bookmarkEnd w:id="15"/>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16" w:name="_Toc20308056"/>
      <w:r>
        <w:lastRenderedPageBreak/>
        <w:t>Ehrenwörtliche Erklärung</w:t>
      </w:r>
      <w:bookmarkEnd w:id="16"/>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12"/>
          <w:headerReference w:type="first" r:id="rId13"/>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17" w:name="_Toc20308057"/>
      <w:r>
        <w:lastRenderedPageBreak/>
        <w:t>Stichwortverzeichnis</w:t>
      </w:r>
      <w:bookmarkEnd w:id="17"/>
    </w:p>
    <w:p w14:paraId="20A6C7D8" w14:textId="5B042C03" w:rsidR="00C806CB" w:rsidRDefault="00284FA6" w:rsidP="00A2390D">
      <w:pPr>
        <w:rPr>
          <w:noProof/>
        </w:rPr>
        <w:sectPr w:rsidR="00C806CB" w:rsidSect="00C806CB">
          <w:headerReference w:type="first" r:id="rId14"/>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tag w:val="CitaviBibliography"/>
        <w:id w:val="-747107997"/>
        <w:placeholder>
          <w:docPart w:val="DefaultPlaceholder_1081868574"/>
        </w:placeholder>
      </w:sdtPr>
      <w:sdtEndPr>
        <w:rPr>
          <w:rFonts w:ascii="Times New Roman" w:hAnsi="Times New Roman"/>
          <w:b w:val="0"/>
          <w:kern w:val="0"/>
          <w:sz w:val="24"/>
        </w:rPr>
      </w:sdtEndPr>
      <w:sdtContent>
        <w:p w14:paraId="5C314056" w14:textId="77777777" w:rsidR="000A12DB" w:rsidRDefault="005E2B7B" w:rsidP="000A12DB">
          <w:pPr>
            <w:pStyle w:val="CitaviBibliographyHeading"/>
          </w:pPr>
          <w:r>
            <w:fldChar w:fldCharType="begin"/>
          </w:r>
          <w:r>
            <w:instrText>ADDIN CitaviBibliography</w:instrText>
          </w:r>
          <w:r>
            <w:fldChar w:fldCharType="separate"/>
          </w:r>
          <w:r w:rsidR="000A12DB">
            <w:t>Literaturverzeichnis</w:t>
          </w:r>
        </w:p>
        <w:p w14:paraId="3262820E" w14:textId="1570F049" w:rsidR="000A12DB" w:rsidRPr="000A12DB" w:rsidRDefault="000A12DB" w:rsidP="000A12DB">
          <w:pPr>
            <w:pStyle w:val="CitaviBibliographyEntry"/>
            <w:rPr>
              <w:lang w:val="en-US"/>
            </w:rPr>
          </w:pPr>
          <w:bookmarkStart w:id="18" w:name="_CTVL00142c9e052f8e1428e885f82cfd186e9a7"/>
          <w:r w:rsidRPr="000A12DB">
            <w:rPr>
              <w:smallCaps/>
              <w:lang w:val="en-US"/>
            </w:rPr>
            <w:t xml:space="preserve">Andrew S. Tanenbaum; </w:t>
          </w:r>
          <w:bookmarkEnd w:id="18"/>
          <w:r w:rsidRPr="000A12DB">
            <w:rPr>
              <w:lang w:val="en-US"/>
            </w:rPr>
            <w:t xml:space="preserve">Maarten Van Steen (Mitarb.): </w:t>
          </w:r>
          <w:r w:rsidRPr="000A12DB">
            <w:rPr>
              <w:i/>
              <w:lang w:val="en-US"/>
            </w:rPr>
            <w:t xml:space="preserve">Distributed Systems Principles </w:t>
          </w:r>
          <w:r w:rsidR="00234399">
            <w:rPr>
              <w:i/>
              <w:lang w:val="en-US"/>
            </w:rPr>
            <w:t xml:space="preserve"> </w:t>
          </w:r>
          <w:r w:rsidRPr="000A12DB">
            <w:rPr>
              <w:i/>
              <w:lang w:val="en-US"/>
            </w:rPr>
            <w:t xml:space="preserve">and Paradigms. </w:t>
          </w:r>
          <w:r w:rsidRPr="000A12DB">
            <w:rPr>
              <w:lang w:val="en-US"/>
            </w:rPr>
            <w:t xml:space="preserve">Zweite Auflage : Pearson Education, 2006 </w:t>
          </w:r>
        </w:p>
        <w:p w14:paraId="3311467E" w14:textId="77777777" w:rsidR="000A12DB" w:rsidRDefault="000A12DB" w:rsidP="000A12DB">
          <w:pPr>
            <w:pStyle w:val="CitaviBibliographyEntry"/>
          </w:pPr>
          <w:bookmarkStart w:id="19" w:name="_CTVL001b3a45404d2df4913b1f86f3306f1cef4"/>
          <w:r w:rsidRPr="000A12DB">
            <w:rPr>
              <w:smallCaps/>
              <w:lang w:val="en-US"/>
            </w:rPr>
            <w:t xml:space="preserve">Arnon Rotem-Gal-Oz: </w:t>
          </w:r>
          <w:bookmarkEnd w:id="19"/>
          <w:r w:rsidRPr="000A12DB">
            <w:rPr>
              <w:i/>
              <w:lang w:val="en-US"/>
            </w:rPr>
            <w:t xml:space="preserve">Fallacies of distributed computing Explained. </w:t>
          </w:r>
          <w:r w:rsidRPr="000A12DB">
            <w:t xml:space="preserve">URL http://www.rgoarchitects.com/Files/fallacies.pdf – Überprüfungsdatum 09.10.2019 </w:t>
          </w:r>
        </w:p>
        <w:p w14:paraId="6A56E0F8" w14:textId="54E67F51" w:rsidR="005E2B7B" w:rsidRDefault="000A12DB" w:rsidP="000A12DB">
          <w:pPr>
            <w:pStyle w:val="CitaviBibliographyEntry"/>
          </w:pPr>
          <w:bookmarkStart w:id="20" w:name="_CTVL001b02821cc9eba40acb4e457a01fe73f18"/>
          <w:r w:rsidRPr="000A12DB">
            <w:rPr>
              <w:smallCaps/>
            </w:rPr>
            <w:t xml:space="preserve">Stephan Augsten: </w:t>
          </w:r>
          <w:bookmarkEnd w:id="20"/>
          <w:r w:rsidRPr="000A12DB">
            <w:rPr>
              <w:i/>
            </w:rPr>
            <w:t xml:space="preserve">Was sind Container? : Definition „Container (Informatik)“. </w:t>
          </w:r>
          <w:r w:rsidRPr="000A12DB">
            <w:t xml:space="preserve">URL https://www.dev-insider.de/was-sind-container-a-573872/. – Aktualisierungsdatum: 19.01.2017 – Überprüfungsdatum 10.04.2019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3B0F6" w14:textId="77777777" w:rsidR="003660A3" w:rsidRDefault="003660A3">
      <w:pPr>
        <w:spacing w:before="0" w:line="240" w:lineRule="auto"/>
      </w:pPr>
      <w:r>
        <w:separator/>
      </w:r>
    </w:p>
  </w:endnote>
  <w:endnote w:type="continuationSeparator" w:id="0">
    <w:p w14:paraId="66411095" w14:textId="77777777" w:rsidR="003660A3" w:rsidRDefault="003660A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7F82A" w14:textId="77777777" w:rsidR="003660A3" w:rsidRDefault="003660A3">
      <w:pPr>
        <w:spacing w:before="0" w:line="240" w:lineRule="auto"/>
      </w:pPr>
      <w:r>
        <w:separator/>
      </w:r>
    </w:p>
  </w:footnote>
  <w:footnote w:type="continuationSeparator" w:id="0">
    <w:p w14:paraId="0BF6E536" w14:textId="77777777" w:rsidR="003660A3" w:rsidRDefault="003660A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DC2689" w:rsidRDefault="00DC2689">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8326BB" w:rsidRPr="008326BB">
      <w:rPr>
        <w:b/>
        <w:bCs/>
        <w:noProof/>
      </w:rPr>
      <w:instrText>3</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8326BB" w:rsidRPr="008326BB">
      <w:rPr>
        <w:b/>
        <w:bCs/>
        <w:noProof/>
      </w:rPr>
      <w:instrText>3</w:instrText>
    </w:r>
    <w:r>
      <w:rPr>
        <w:noProof/>
      </w:rPr>
      <w:fldChar w:fldCharType="end"/>
    </w:r>
    <w:r w:rsidRPr="00A72970">
      <w:instrText xml:space="preserve"> " " \* MERGEFORMAT </w:instrText>
    </w:r>
    <w:r>
      <w:fldChar w:fldCharType="separate"/>
    </w:r>
    <w:r w:rsidR="008326BB" w:rsidRPr="008326BB">
      <w:rPr>
        <w:noProof/>
      </w:rPr>
      <w:instrText>3</w:instrText>
    </w:r>
    <w:r w:rsidR="008326BB" w:rsidRPr="00A72970">
      <w:instrText xml:space="preserve"> </w:instrText>
    </w:r>
    <w:r>
      <w:fldChar w:fldCharType="end"/>
    </w:r>
    <w:r w:rsidRPr="00A72970">
      <w:instrText xml:space="preserve"> \* MERGEFORMAT </w:instrText>
    </w:r>
    <w:r w:rsidR="008326BB">
      <w:fldChar w:fldCharType="separate"/>
    </w:r>
    <w:r w:rsidR="008326BB" w:rsidRPr="008326BB">
      <w:rPr>
        <w:noProof/>
      </w:rPr>
      <w:t>3</w:t>
    </w:r>
    <w:r w:rsidR="008326BB" w:rsidRPr="00A72970">
      <w:rPr>
        <w:noProof/>
      </w:rPr>
      <w:t xml:space="preserve"> </w:t>
    </w:r>
    <w:r>
      <w:fldChar w:fldCharType="end"/>
    </w:r>
    <w:r>
      <w:rPr>
        <w:noProof/>
      </w:rPr>
      <w:fldChar w:fldCharType="begin"/>
    </w:r>
    <w:r w:rsidRPr="00A72970">
      <w:rPr>
        <w:noProof/>
      </w:rPr>
      <w:instrText xml:space="preserve"> STYLEREF "Überschrift 1" \* MERGEFORMAT </w:instrText>
    </w:r>
    <w:r w:rsidR="00234399">
      <w:rPr>
        <w:noProof/>
      </w:rPr>
      <w:fldChar w:fldCharType="separate"/>
    </w:r>
    <w:r w:rsidR="008326BB">
      <w:rPr>
        <w:noProof/>
      </w:rPr>
      <w:t>Zusammenfassung und Ausblick</w:t>
    </w:r>
    <w:r>
      <w:rPr>
        <w:noProof/>
      </w:rPr>
      <w:fldChar w:fldCharType="end"/>
    </w:r>
    <w:r>
      <w:tab/>
    </w:r>
    <w:r>
      <w:fldChar w:fldCharType="begin"/>
    </w:r>
    <w:r>
      <w:instrText xml:space="preserve"> PAGE  \* MERGEFORMAT </w:instrText>
    </w:r>
    <w:r>
      <w:fldChar w:fldCharType="separate"/>
    </w:r>
    <w:r w:rsidR="008326BB">
      <w:rPr>
        <w:noProof/>
      </w:rPr>
      <w:t>13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DC2689" w:rsidRDefault="00DC2689">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DC2689" w:rsidRDefault="00DC268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3"/>
  </w:num>
  <w:num w:numId="14">
    <w:abstractNumId w:val="22"/>
  </w:num>
  <w:num w:numId="15">
    <w:abstractNumId w:val="14"/>
  </w:num>
  <w:num w:numId="16">
    <w:abstractNumId w:val="15"/>
  </w:num>
  <w:num w:numId="17">
    <w:abstractNumId w:val="12"/>
  </w:num>
  <w:num w:numId="18">
    <w:abstractNumId w:val="30"/>
  </w:num>
  <w:num w:numId="19">
    <w:abstractNumId w:val="26"/>
  </w:num>
  <w:num w:numId="20">
    <w:abstractNumId w:val="13"/>
  </w:num>
  <w:num w:numId="21">
    <w:abstractNumId w:val="11"/>
  </w:num>
  <w:num w:numId="22">
    <w:abstractNumId w:val="24"/>
  </w:num>
  <w:num w:numId="23">
    <w:abstractNumId w:val="32"/>
  </w:num>
  <w:num w:numId="24">
    <w:abstractNumId w:val="31"/>
  </w:num>
  <w:num w:numId="25">
    <w:abstractNumId w:val="17"/>
  </w:num>
  <w:num w:numId="26">
    <w:abstractNumId w:val="20"/>
  </w:num>
  <w:num w:numId="27">
    <w:abstractNumId w:val="10"/>
  </w:num>
  <w:num w:numId="28">
    <w:abstractNumId w:val="19"/>
  </w:num>
  <w:num w:numId="29">
    <w:abstractNumId w:val="25"/>
  </w:num>
  <w:num w:numId="30">
    <w:abstractNumId w:val="23"/>
  </w:num>
  <w:num w:numId="31">
    <w:abstractNumId w:val="35"/>
  </w:num>
  <w:num w:numId="32">
    <w:abstractNumId w:val="35"/>
  </w:num>
  <w:num w:numId="33">
    <w:abstractNumId w:val="21"/>
  </w:num>
  <w:num w:numId="34">
    <w:abstractNumId w:val="18"/>
  </w:num>
  <w:num w:numId="35">
    <w:abstractNumId w:val="27"/>
  </w:num>
  <w:num w:numId="36">
    <w:abstractNumId w:val="28"/>
  </w:num>
  <w:num w:numId="37">
    <w:abstractNumId w:val="16"/>
  </w:num>
  <w:num w:numId="38">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5F64"/>
    <w:rsid w:val="000075C4"/>
    <w:rsid w:val="0003045F"/>
    <w:rsid w:val="000321E7"/>
    <w:rsid w:val="0003242D"/>
    <w:rsid w:val="000512D5"/>
    <w:rsid w:val="00051598"/>
    <w:rsid w:val="000635BD"/>
    <w:rsid w:val="000658C4"/>
    <w:rsid w:val="0006719A"/>
    <w:rsid w:val="00077747"/>
    <w:rsid w:val="00080B9A"/>
    <w:rsid w:val="00092FF7"/>
    <w:rsid w:val="00097B2B"/>
    <w:rsid w:val="000A12DB"/>
    <w:rsid w:val="000D04EB"/>
    <w:rsid w:val="000E07AA"/>
    <w:rsid w:val="000F0471"/>
    <w:rsid w:val="00111AC6"/>
    <w:rsid w:val="0013170F"/>
    <w:rsid w:val="00131C08"/>
    <w:rsid w:val="00134BAB"/>
    <w:rsid w:val="00152273"/>
    <w:rsid w:val="0015271C"/>
    <w:rsid w:val="0015733A"/>
    <w:rsid w:val="00165847"/>
    <w:rsid w:val="0018298B"/>
    <w:rsid w:val="0019585B"/>
    <w:rsid w:val="001B6F05"/>
    <w:rsid w:val="001C199B"/>
    <w:rsid w:val="001C60B5"/>
    <w:rsid w:val="001D3707"/>
    <w:rsid w:val="001D5BEC"/>
    <w:rsid w:val="001E0214"/>
    <w:rsid w:val="001F519E"/>
    <w:rsid w:val="00213E40"/>
    <w:rsid w:val="00215608"/>
    <w:rsid w:val="002340A0"/>
    <w:rsid w:val="00234399"/>
    <w:rsid w:val="0023515B"/>
    <w:rsid w:val="0023723E"/>
    <w:rsid w:val="002426E1"/>
    <w:rsid w:val="0024546D"/>
    <w:rsid w:val="00284FA6"/>
    <w:rsid w:val="0029592F"/>
    <w:rsid w:val="002A2CE2"/>
    <w:rsid w:val="002A46D7"/>
    <w:rsid w:val="002B1A76"/>
    <w:rsid w:val="002D1173"/>
    <w:rsid w:val="002D1EC4"/>
    <w:rsid w:val="002D5E35"/>
    <w:rsid w:val="002E4C44"/>
    <w:rsid w:val="002E5B05"/>
    <w:rsid w:val="002F056A"/>
    <w:rsid w:val="002F3F6A"/>
    <w:rsid w:val="0030678D"/>
    <w:rsid w:val="00331F45"/>
    <w:rsid w:val="00340216"/>
    <w:rsid w:val="003476CC"/>
    <w:rsid w:val="00360DEA"/>
    <w:rsid w:val="003660A3"/>
    <w:rsid w:val="00374981"/>
    <w:rsid w:val="00376DCD"/>
    <w:rsid w:val="003C2835"/>
    <w:rsid w:val="003E1270"/>
    <w:rsid w:val="003E63AD"/>
    <w:rsid w:val="003F6368"/>
    <w:rsid w:val="003F71C5"/>
    <w:rsid w:val="00401AA0"/>
    <w:rsid w:val="004129C2"/>
    <w:rsid w:val="004153F7"/>
    <w:rsid w:val="00421DCE"/>
    <w:rsid w:val="00440D21"/>
    <w:rsid w:val="0044776E"/>
    <w:rsid w:val="0045208D"/>
    <w:rsid w:val="00452CCD"/>
    <w:rsid w:val="00462CDB"/>
    <w:rsid w:val="004663DF"/>
    <w:rsid w:val="00484865"/>
    <w:rsid w:val="00485F4F"/>
    <w:rsid w:val="00494843"/>
    <w:rsid w:val="004B54D1"/>
    <w:rsid w:val="004C0327"/>
    <w:rsid w:val="004C1B2D"/>
    <w:rsid w:val="004C50A0"/>
    <w:rsid w:val="004E524D"/>
    <w:rsid w:val="004F4EC2"/>
    <w:rsid w:val="0056660E"/>
    <w:rsid w:val="00583AA1"/>
    <w:rsid w:val="005921A2"/>
    <w:rsid w:val="00596266"/>
    <w:rsid w:val="005968F5"/>
    <w:rsid w:val="005C7F97"/>
    <w:rsid w:val="005D0F80"/>
    <w:rsid w:val="005D230E"/>
    <w:rsid w:val="005D26BD"/>
    <w:rsid w:val="005E2B7B"/>
    <w:rsid w:val="005E778E"/>
    <w:rsid w:val="005E7A7B"/>
    <w:rsid w:val="0061670A"/>
    <w:rsid w:val="0061746F"/>
    <w:rsid w:val="0062608E"/>
    <w:rsid w:val="006311A9"/>
    <w:rsid w:val="0063158D"/>
    <w:rsid w:val="00632B46"/>
    <w:rsid w:val="00640ADD"/>
    <w:rsid w:val="0066763B"/>
    <w:rsid w:val="006755A3"/>
    <w:rsid w:val="00686316"/>
    <w:rsid w:val="006A6BA9"/>
    <w:rsid w:val="006B5395"/>
    <w:rsid w:val="006C4AD8"/>
    <w:rsid w:val="006D45A1"/>
    <w:rsid w:val="006E7126"/>
    <w:rsid w:val="00701722"/>
    <w:rsid w:val="007123B7"/>
    <w:rsid w:val="00721229"/>
    <w:rsid w:val="0074008C"/>
    <w:rsid w:val="00743CA4"/>
    <w:rsid w:val="0076089B"/>
    <w:rsid w:val="007648E0"/>
    <w:rsid w:val="00781DBF"/>
    <w:rsid w:val="00795E24"/>
    <w:rsid w:val="007A060E"/>
    <w:rsid w:val="007A3816"/>
    <w:rsid w:val="007D3976"/>
    <w:rsid w:val="007E74D6"/>
    <w:rsid w:val="00801721"/>
    <w:rsid w:val="00805892"/>
    <w:rsid w:val="00826F66"/>
    <w:rsid w:val="008326BB"/>
    <w:rsid w:val="00835F70"/>
    <w:rsid w:val="00842779"/>
    <w:rsid w:val="008517AE"/>
    <w:rsid w:val="00862DDF"/>
    <w:rsid w:val="008909E1"/>
    <w:rsid w:val="008B6EB8"/>
    <w:rsid w:val="008C44B0"/>
    <w:rsid w:val="008C59A7"/>
    <w:rsid w:val="008C5CD2"/>
    <w:rsid w:val="008D75AE"/>
    <w:rsid w:val="008E6CDA"/>
    <w:rsid w:val="0090593F"/>
    <w:rsid w:val="00914394"/>
    <w:rsid w:val="00925D27"/>
    <w:rsid w:val="0093348F"/>
    <w:rsid w:val="0096117D"/>
    <w:rsid w:val="00966656"/>
    <w:rsid w:val="009673F2"/>
    <w:rsid w:val="009901EF"/>
    <w:rsid w:val="00994B2B"/>
    <w:rsid w:val="0099786E"/>
    <w:rsid w:val="009B1796"/>
    <w:rsid w:val="009B541E"/>
    <w:rsid w:val="009D0667"/>
    <w:rsid w:val="009D2F65"/>
    <w:rsid w:val="009D6F14"/>
    <w:rsid w:val="009E65EF"/>
    <w:rsid w:val="009F0528"/>
    <w:rsid w:val="009F7488"/>
    <w:rsid w:val="00A00E08"/>
    <w:rsid w:val="00A030D0"/>
    <w:rsid w:val="00A07313"/>
    <w:rsid w:val="00A132F0"/>
    <w:rsid w:val="00A164E5"/>
    <w:rsid w:val="00A2390D"/>
    <w:rsid w:val="00A2487A"/>
    <w:rsid w:val="00A5114A"/>
    <w:rsid w:val="00A56D5D"/>
    <w:rsid w:val="00A64B16"/>
    <w:rsid w:val="00A72970"/>
    <w:rsid w:val="00A77891"/>
    <w:rsid w:val="00A94DC1"/>
    <w:rsid w:val="00A9601B"/>
    <w:rsid w:val="00AA6F54"/>
    <w:rsid w:val="00AC4074"/>
    <w:rsid w:val="00AE251B"/>
    <w:rsid w:val="00AE49EE"/>
    <w:rsid w:val="00B01D2B"/>
    <w:rsid w:val="00B022F8"/>
    <w:rsid w:val="00B22DC9"/>
    <w:rsid w:val="00B31B27"/>
    <w:rsid w:val="00B370EF"/>
    <w:rsid w:val="00B410F6"/>
    <w:rsid w:val="00B63259"/>
    <w:rsid w:val="00B7674E"/>
    <w:rsid w:val="00BA1564"/>
    <w:rsid w:val="00BA2286"/>
    <w:rsid w:val="00BA7051"/>
    <w:rsid w:val="00BA7590"/>
    <w:rsid w:val="00BB266A"/>
    <w:rsid w:val="00BB5D10"/>
    <w:rsid w:val="00BC325E"/>
    <w:rsid w:val="00BC526F"/>
    <w:rsid w:val="00BD0C47"/>
    <w:rsid w:val="00BD6CB6"/>
    <w:rsid w:val="00BF0354"/>
    <w:rsid w:val="00BF7EB9"/>
    <w:rsid w:val="00C04361"/>
    <w:rsid w:val="00C075D6"/>
    <w:rsid w:val="00C24E59"/>
    <w:rsid w:val="00C250C8"/>
    <w:rsid w:val="00C2544C"/>
    <w:rsid w:val="00C25633"/>
    <w:rsid w:val="00C33C99"/>
    <w:rsid w:val="00C3443E"/>
    <w:rsid w:val="00C455E2"/>
    <w:rsid w:val="00C7497D"/>
    <w:rsid w:val="00C806CB"/>
    <w:rsid w:val="00C93BB8"/>
    <w:rsid w:val="00CA00E5"/>
    <w:rsid w:val="00CB0C04"/>
    <w:rsid w:val="00CB1F00"/>
    <w:rsid w:val="00CD23C7"/>
    <w:rsid w:val="00CE519D"/>
    <w:rsid w:val="00CE73C2"/>
    <w:rsid w:val="00CF34B6"/>
    <w:rsid w:val="00CF5670"/>
    <w:rsid w:val="00D170D8"/>
    <w:rsid w:val="00D26580"/>
    <w:rsid w:val="00D3481C"/>
    <w:rsid w:val="00D35D1B"/>
    <w:rsid w:val="00D5231B"/>
    <w:rsid w:val="00D62DC2"/>
    <w:rsid w:val="00D7398B"/>
    <w:rsid w:val="00D74A0F"/>
    <w:rsid w:val="00D828AD"/>
    <w:rsid w:val="00D86AFA"/>
    <w:rsid w:val="00D91C37"/>
    <w:rsid w:val="00D9367E"/>
    <w:rsid w:val="00D97615"/>
    <w:rsid w:val="00DA3889"/>
    <w:rsid w:val="00DA7869"/>
    <w:rsid w:val="00DB126C"/>
    <w:rsid w:val="00DB488D"/>
    <w:rsid w:val="00DB63D8"/>
    <w:rsid w:val="00DC2689"/>
    <w:rsid w:val="00DD2BDB"/>
    <w:rsid w:val="00DD51E2"/>
    <w:rsid w:val="00DE0888"/>
    <w:rsid w:val="00DE42AB"/>
    <w:rsid w:val="00DF60BC"/>
    <w:rsid w:val="00DF744E"/>
    <w:rsid w:val="00E012B1"/>
    <w:rsid w:val="00E016C0"/>
    <w:rsid w:val="00E06E80"/>
    <w:rsid w:val="00E11F01"/>
    <w:rsid w:val="00E7518D"/>
    <w:rsid w:val="00E94537"/>
    <w:rsid w:val="00EC4CA5"/>
    <w:rsid w:val="00ED554B"/>
    <w:rsid w:val="00EE2084"/>
    <w:rsid w:val="00EE21B7"/>
    <w:rsid w:val="00F13553"/>
    <w:rsid w:val="00F26059"/>
    <w:rsid w:val="00F43D42"/>
    <w:rsid w:val="00F4688C"/>
    <w:rsid w:val="00F6699E"/>
    <w:rsid w:val="00F75EFD"/>
    <w:rsid w:val="00F81BAC"/>
    <w:rsid w:val="00F84281"/>
    <w:rsid w:val="00FA7DD2"/>
    <w:rsid w:val="00FB75B5"/>
    <w:rsid w:val="00FC4937"/>
    <w:rsid w:val="00FD2F30"/>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ingthesmartway.com/wp-content/uploads/2019/02/010-1024x500.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621F9A"/>
    <w:rsid w:val="00BD1F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D1F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E4D317C7-0F8E-4848-97AC-B6FFA7C3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3542</Words>
  <Characters>22321</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25812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Wildermuth Gerrit</dc:creator>
  <cp:lastModifiedBy>Wildermuth Gerrit</cp:lastModifiedBy>
  <cp:revision>71</cp:revision>
  <cp:lastPrinted>2015-05-19T09:24:00Z</cp:lastPrinted>
  <dcterms:created xsi:type="dcterms:W3CDTF">2015-06-01T14:30:00Z</dcterms:created>
  <dcterms:modified xsi:type="dcterms:W3CDTF">2019-10-09T13:37:00Z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8">
    <vt:lpwstr>CloudProjectKey=xjneepc7hd2puwy4u82nnih2dl2k8oi0go1xhezzsgnl85; ProjectName=Bachelor_Thesis</vt:lpwstr>
  </property>
  <property fmtid="{D5CDD505-2E9C-101B-9397-08002B2CF9AE}" pid="5" name="CitaviDocumentProperty_1">
    <vt:lpwstr>6.3.0.0</vt:lpwstr>
  </property>
  <property fmtid="{D5CDD505-2E9C-101B-9397-08002B2CF9AE}" pid="6" name="CitaviDocumentProperty_6">
    <vt:lpwstr>False</vt:lpwstr>
  </property>
</Properties>
</file>