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8917"/>
          <w:sz w:val="48"/>
        </w:rPr>
        <w:t>From Data to Decisions: Training Fraud Detection Models</w:t>
      </w:r>
    </w:p>
    <w:p>
      <w:pPr>
        <w:jc w:val="center"/>
      </w:pPr>
      <w:r>
        <w:rPr>
          <w:i/>
          <w:color w:val="9B9B9B"/>
          <w:sz w:val="30"/>
        </w:rPr>
        <w:t>Adey Innovations Inc. — Interim Report 2</w:t>
      </w:r>
    </w:p>
    <w:p>
      <w:pPr>
        <w:jc w:val="center"/>
      </w:pPr>
      <w:r>
        <w:rPr>
          <w:b/>
          <w:sz w:val="24"/>
        </w:rPr>
        <w:t>Task 2 — Model Building, Training &amp; Evaluation</w:t>
      </w:r>
    </w:p>
    <w:p>
      <w:pPr>
        <w:jc w:val="center"/>
      </w:pPr>
      <w:r>
        <w:rPr>
          <w:color w:val="9B9B9B"/>
          <w:sz w:val="20"/>
        </w:rPr>
        <w:t>Maedot Amha  ·  June 2026</w:t>
      </w:r>
    </w:p>
    <w:p/>
    <w:p>
      <w:pPr>
        <w:shd w:val="clear" w:color="auto" w:fill="F2FDF2"/>
      </w:pPr>
      <w:r>
        <w:rPr>
          <w:sz w:val="22"/>
        </w:rPr>
        <w:t>This report presents two complete fraud detection pipelines — one for e-commerce transactions, one for bank credit cards. Each pipeline trains a Logistic Regression baseline and a tuned XGBoost model, evaluated on AUC-PR, F1-Score, and Confusion Matrix via Stratified K-Fold cross-validation. All models are saved and ready for SHAP explainability in Task 3.</w:t>
      </w:r>
    </w:p>
    <w:p>
      <w:r>
        <w:br w:type="page"/>
      </w:r>
    </w:p>
    <w:p>
      <w:pPr>
        <w:pStyle w:val="Heading1"/>
      </w:pPr>
      <w:r>
        <w:rPr>
          <w:color w:val="1A8917"/>
        </w:rPr>
        <w:t>1.  Pipeline Overview</w:t>
      </w:r>
    </w:p>
    <w:p>
      <w:r>
        <w:rPr>
          <w:sz w:val="21"/>
        </w:rPr>
        <w:t>The two datasets are treated as independent modeling problems. They differ in feature structure, fraud rate, and dominant signal type — a shared pipeline would mask these differences.</w:t>
      </w:r>
    </w:p>
    <w:tbl>
      <w:tblPr>
        <w:tblStyle w:val="TableGrid"/>
        <w:tblW w:type="auto" w:w="0"/>
        <w:tblLook w:firstColumn="1" w:firstRow="1" w:lastColumn="0" w:lastRow="0" w:noHBand="0" w:noVBand="1" w:val="04A0"/>
      </w:tblPr>
      <w:tblGrid>
        <w:gridCol w:w="3022"/>
        <w:gridCol w:w="3022"/>
        <w:gridCol w:w="3022"/>
      </w:tblGrid>
      <w:tr>
        <w:tc>
          <w:tcPr>
            <w:tcW w:type="dxa" w:w="2736"/>
            <w:shd w:val="clear" w:color="auto" w:fill="2D6A4F"/>
          </w:tcPr>
          <w:p>
            <w:r>
              <w:rPr>
                <w:b/>
                <w:color w:val="FFFFFF"/>
                <w:sz w:val="19"/>
              </w:rPr>
            </w:r>
          </w:p>
        </w:tc>
        <w:tc>
          <w:tcPr>
            <w:tcW w:type="dxa" w:w="3312"/>
            <w:shd w:val="clear" w:color="auto" w:fill="2D6A4F"/>
          </w:tcPr>
          <w:p>
            <w:r>
              <w:rPr>
                <w:b/>
                <w:color w:val="FFFFFF"/>
                <w:sz w:val="19"/>
              </w:rPr>
              <w:t>E-Commerce Pipeline</w:t>
            </w:r>
          </w:p>
        </w:tc>
        <w:tc>
          <w:tcPr>
            <w:tcW w:type="dxa" w:w="3312"/>
            <w:shd w:val="clear" w:color="auto" w:fill="2D6A4F"/>
          </w:tcPr>
          <w:p>
            <w:r>
              <w:rPr>
                <w:b/>
                <w:color w:val="FFFFFF"/>
                <w:sz w:val="19"/>
              </w:rPr>
              <w:t>Credit Card Pipeline</w:t>
            </w:r>
          </w:p>
        </w:tc>
      </w:tr>
      <w:tr>
        <w:tc>
          <w:tcPr>
            <w:tcW w:type="dxa" w:w="2736"/>
          </w:tcPr>
          <w:p>
            <w:r>
              <w:rPr>
                <w:sz w:val="19"/>
              </w:rPr>
              <w:t>Training rows (post-SMOTE)</w:t>
            </w:r>
          </w:p>
        </w:tc>
        <w:tc>
          <w:tcPr>
            <w:tcW w:type="dxa" w:w="3312"/>
          </w:tcPr>
          <w:p>
            <w:r>
              <w:rPr>
                <w:sz w:val="19"/>
              </w:rPr>
              <w:t>219,136 (balanced 1:1)</w:t>
            </w:r>
          </w:p>
        </w:tc>
        <w:tc>
          <w:tcPr>
            <w:tcW w:type="dxa" w:w="3312"/>
          </w:tcPr>
          <w:p>
            <w:r>
              <w:rPr>
                <w:sz w:val="19"/>
              </w:rPr>
              <w:t>453,204 (balanced 1:1)</w:t>
            </w:r>
          </w:p>
        </w:tc>
      </w:tr>
      <w:tr>
        <w:tc>
          <w:tcPr>
            <w:tcW w:type="dxa" w:w="2736"/>
          </w:tcPr>
          <w:p>
            <w:r>
              <w:rPr>
                <w:sz w:val="19"/>
              </w:rPr>
              <w:t>Test rows</w:t>
            </w:r>
          </w:p>
        </w:tc>
        <w:tc>
          <w:tcPr>
            <w:tcW w:type="dxa" w:w="3312"/>
          </w:tcPr>
          <w:p>
            <w:r>
              <w:rPr>
                <w:sz w:val="19"/>
              </w:rPr>
              <w:t>30,255 (original ratio)</w:t>
            </w:r>
          </w:p>
        </w:tc>
        <w:tc>
          <w:tcPr>
            <w:tcW w:type="dxa" w:w="3312"/>
          </w:tcPr>
          <w:p>
            <w:r>
              <w:rPr>
                <w:sz w:val="19"/>
              </w:rPr>
              <w:t>56,746 (original ratio)</w:t>
            </w:r>
          </w:p>
        </w:tc>
      </w:tr>
      <w:tr>
        <w:tc>
          <w:tcPr>
            <w:tcW w:type="dxa" w:w="2736"/>
          </w:tcPr>
          <w:p>
            <w:r>
              <w:rPr>
                <w:sz w:val="19"/>
              </w:rPr>
              <w:t>Features</w:t>
            </w:r>
          </w:p>
        </w:tc>
        <w:tc>
          <w:tcPr>
            <w:tcW w:type="dxa" w:w="3312"/>
          </w:tcPr>
          <w:p>
            <w:r>
              <w:rPr>
                <w:sz w:val="19"/>
              </w:rPr>
              <w:t>194 (OHE + engineered)</w:t>
            </w:r>
          </w:p>
        </w:tc>
        <w:tc>
          <w:tcPr>
            <w:tcW w:type="dxa" w:w="3312"/>
          </w:tcPr>
          <w:p>
            <w:r>
              <w:rPr>
                <w:sz w:val="19"/>
              </w:rPr>
              <w:t>30 (V1–V28, Amount, Time)</w:t>
            </w:r>
          </w:p>
        </w:tc>
      </w:tr>
      <w:tr>
        <w:tc>
          <w:tcPr>
            <w:tcW w:type="dxa" w:w="2736"/>
          </w:tcPr>
          <w:p>
            <w:r>
              <w:rPr>
                <w:sz w:val="19"/>
              </w:rPr>
              <w:t>Fraud rate (test)</w:t>
            </w:r>
          </w:p>
        </w:tc>
        <w:tc>
          <w:tcPr>
            <w:tcW w:type="dxa" w:w="3312"/>
          </w:tcPr>
          <w:p>
            <w:r>
              <w:rPr>
                <w:sz w:val="19"/>
              </w:rPr>
              <w:t>9.36%</w:t>
            </w:r>
          </w:p>
        </w:tc>
        <w:tc>
          <w:tcPr>
            <w:tcW w:type="dxa" w:w="3312"/>
          </w:tcPr>
          <w:p>
            <w:r>
              <w:rPr>
                <w:sz w:val="19"/>
              </w:rPr>
              <w:t>0.17%</w:t>
            </w:r>
          </w:p>
        </w:tc>
      </w:tr>
      <w:tr>
        <w:tc>
          <w:tcPr>
            <w:tcW w:type="dxa" w:w="2736"/>
          </w:tcPr>
          <w:p>
            <w:r>
              <w:rPr>
                <w:sz w:val="19"/>
              </w:rPr>
              <w:t>Target column</w:t>
            </w:r>
          </w:p>
        </w:tc>
        <w:tc>
          <w:tcPr>
            <w:tcW w:type="dxa" w:w="3312"/>
          </w:tcPr>
          <w:p>
            <w:r>
              <w:rPr>
                <w:sz w:val="19"/>
              </w:rPr>
              <w:t>'class'</w:t>
            </w:r>
          </w:p>
        </w:tc>
        <w:tc>
          <w:tcPr>
            <w:tcW w:type="dxa" w:w="3312"/>
          </w:tcPr>
          <w:p>
            <w:r>
              <w:rPr>
                <w:sz w:val="19"/>
              </w:rPr>
              <w:t>'Class'</w:t>
            </w:r>
          </w:p>
        </w:tc>
      </w:tr>
      <w:tr>
        <w:tc>
          <w:tcPr>
            <w:tcW w:type="dxa" w:w="2736"/>
          </w:tcPr>
          <w:p>
            <w:r>
              <w:rPr>
                <w:sz w:val="19"/>
              </w:rPr>
              <w:t>Baseline model</w:t>
            </w:r>
          </w:p>
        </w:tc>
        <w:tc>
          <w:tcPr>
            <w:tcW w:type="dxa" w:w="3312"/>
          </w:tcPr>
          <w:p>
            <w:r>
              <w:rPr>
                <w:sz w:val="19"/>
              </w:rPr>
              <w:t>Logistic Regression</w:t>
            </w:r>
          </w:p>
        </w:tc>
        <w:tc>
          <w:tcPr>
            <w:tcW w:type="dxa" w:w="3312"/>
          </w:tcPr>
          <w:p>
            <w:r>
              <w:rPr>
                <w:sz w:val="19"/>
              </w:rPr>
              <w:t>Logistic Regression</w:t>
            </w:r>
          </w:p>
        </w:tc>
      </w:tr>
      <w:tr>
        <w:tc>
          <w:tcPr>
            <w:tcW w:type="dxa" w:w="2736"/>
          </w:tcPr>
          <w:p>
            <w:r>
              <w:rPr>
                <w:sz w:val="19"/>
              </w:rPr>
              <w:t>Ensemble model</w:t>
            </w:r>
          </w:p>
        </w:tc>
        <w:tc>
          <w:tcPr>
            <w:tcW w:type="dxa" w:w="3312"/>
          </w:tcPr>
          <w:p>
            <w:r>
              <w:rPr>
                <w:sz w:val="19"/>
              </w:rPr>
              <w:t>XGBoost (tuned)</w:t>
            </w:r>
          </w:p>
        </w:tc>
        <w:tc>
          <w:tcPr>
            <w:tcW w:type="dxa" w:w="3312"/>
          </w:tcPr>
          <w:p>
            <w:r>
              <w:rPr>
                <w:sz w:val="19"/>
              </w:rPr>
              <w:t>XGBoost (tuned)</w:t>
            </w:r>
          </w:p>
        </w:tc>
      </w:tr>
      <w:tr>
        <w:tc>
          <w:tcPr>
            <w:tcW w:type="dxa" w:w="2736"/>
          </w:tcPr>
          <w:p>
            <w:r>
              <w:rPr>
                <w:sz w:val="19"/>
              </w:rPr>
              <w:t>Primary metric</w:t>
            </w:r>
          </w:p>
        </w:tc>
        <w:tc>
          <w:tcPr>
            <w:tcW w:type="dxa" w:w="3312"/>
          </w:tcPr>
          <w:p>
            <w:r>
              <w:rPr>
                <w:sz w:val="19"/>
              </w:rPr>
              <w:t>AUC-PR, F1</w:t>
            </w:r>
          </w:p>
        </w:tc>
        <w:tc>
          <w:tcPr>
            <w:tcW w:type="dxa" w:w="3312"/>
          </w:tcPr>
          <w:p>
            <w:r>
              <w:rPr>
                <w:sz w:val="19"/>
              </w:rPr>
              <w:t>AUC-PR, F1</w:t>
            </w:r>
          </w:p>
        </w:tc>
      </w:tr>
    </w:tbl>
    <w:p/>
    <w:p>
      <w:pPr>
        <w:pStyle w:val="Heading1"/>
      </w:pPr>
      <w:r>
        <w:rPr>
          <w:color w:val="1A8917"/>
        </w:rPr>
        <w:t>2.  Baseline: Logistic Regression</w:t>
      </w:r>
    </w:p>
    <w:p>
      <w:r>
        <w:rPr>
          <w:sz w:val="21"/>
        </w:rPr>
        <w:t>Logistic Regression with class_weight='balanced' and the saga solver (handles large sparse feature matrices efficiently). This establishes the minimum performance bar any ensemble model must beat to justify its complexity.</w:t>
      </w:r>
    </w:p>
    <w:tbl>
      <w:tblPr>
        <w:tblStyle w:val="TableGrid"/>
        <w:tblW w:type="auto" w:w="0"/>
        <w:tblLook w:firstColumn="1" w:firstRow="1" w:lastColumn="0" w:lastRow="0" w:noHBand="0" w:noVBand="1" w:val="04A0"/>
      </w:tblPr>
      <w:tblGrid>
        <w:gridCol w:w="1295"/>
        <w:gridCol w:w="1295"/>
        <w:gridCol w:w="1295"/>
        <w:gridCol w:w="1295"/>
        <w:gridCol w:w="1295"/>
        <w:gridCol w:w="1295"/>
        <w:gridCol w:w="1295"/>
      </w:tblGrid>
      <w:tr>
        <w:tc>
          <w:tcPr>
            <w:tcW w:type="dxa" w:w="1872"/>
            <w:shd w:val="clear" w:color="auto" w:fill="2D6A4F"/>
          </w:tcPr>
          <w:p>
            <w:r>
              <w:rPr>
                <w:b/>
                <w:color w:val="FFFFFF"/>
                <w:sz w:val="19"/>
              </w:rPr>
              <w:t>Dataset</w:t>
            </w:r>
          </w:p>
        </w:tc>
        <w:tc>
          <w:tcPr>
            <w:tcW w:type="dxa" w:w="1296"/>
            <w:shd w:val="clear" w:color="auto" w:fill="2D6A4F"/>
          </w:tcPr>
          <w:p>
            <w:r>
              <w:rPr>
                <w:b/>
                <w:color w:val="FFFFFF"/>
                <w:sz w:val="19"/>
              </w:rPr>
              <w:t>AUC-PR</w:t>
            </w:r>
          </w:p>
        </w:tc>
        <w:tc>
          <w:tcPr>
            <w:tcW w:type="dxa" w:w="1296"/>
            <w:shd w:val="clear" w:color="auto" w:fill="2D6A4F"/>
          </w:tcPr>
          <w:p>
            <w:r>
              <w:rPr>
                <w:b/>
                <w:color w:val="FFFFFF"/>
                <w:sz w:val="19"/>
              </w:rPr>
              <w:t>F1-Score</w:t>
            </w:r>
          </w:p>
        </w:tc>
        <w:tc>
          <w:tcPr>
            <w:tcW w:type="dxa" w:w="1152"/>
            <w:shd w:val="clear" w:color="auto" w:fill="2D6A4F"/>
          </w:tcPr>
          <w:p>
            <w:r>
              <w:rPr>
                <w:b/>
                <w:color w:val="FFFFFF"/>
                <w:sz w:val="19"/>
              </w:rPr>
              <w:t>TP</w:t>
            </w:r>
          </w:p>
        </w:tc>
        <w:tc>
          <w:tcPr>
            <w:tcW w:type="dxa" w:w="1152"/>
            <w:shd w:val="clear" w:color="auto" w:fill="2D6A4F"/>
          </w:tcPr>
          <w:p>
            <w:r>
              <w:rPr>
                <w:b/>
                <w:color w:val="FFFFFF"/>
                <w:sz w:val="19"/>
              </w:rPr>
              <w:t>FP</w:t>
            </w:r>
          </w:p>
        </w:tc>
        <w:tc>
          <w:tcPr>
            <w:tcW w:type="dxa" w:w="1152"/>
            <w:shd w:val="clear" w:color="auto" w:fill="2D6A4F"/>
          </w:tcPr>
          <w:p>
            <w:r>
              <w:rPr>
                <w:b/>
                <w:color w:val="FFFFFF"/>
                <w:sz w:val="19"/>
              </w:rPr>
              <w:t>FN</w:t>
            </w:r>
          </w:p>
        </w:tc>
        <w:tc>
          <w:tcPr>
            <w:tcW w:type="dxa" w:w="1728"/>
            <w:shd w:val="clear" w:color="auto" w:fill="2D6A4F"/>
          </w:tcPr>
          <w:p>
            <w:r>
              <w:rPr>
                <w:b/>
                <w:color w:val="FFFFFF"/>
                <w:sz w:val="19"/>
              </w:rPr>
              <w:t>TN</w:t>
            </w:r>
          </w:p>
        </w:tc>
      </w:tr>
      <w:tr>
        <w:tc>
          <w:tcPr>
            <w:tcW w:type="dxa" w:w="1872"/>
          </w:tcPr>
          <w:p>
            <w:r>
              <w:rPr>
                <w:sz w:val="19"/>
              </w:rPr>
              <w:t>E-Commerce</w:t>
            </w:r>
          </w:p>
        </w:tc>
        <w:tc>
          <w:tcPr>
            <w:tcW w:type="dxa" w:w="1296"/>
          </w:tcPr>
          <w:p>
            <w:r>
              <w:rPr>
                <w:sz w:val="19"/>
              </w:rPr>
              <w:t>0.3434</w:t>
            </w:r>
          </w:p>
        </w:tc>
        <w:tc>
          <w:tcPr>
            <w:tcW w:type="dxa" w:w="1296"/>
          </w:tcPr>
          <w:p>
            <w:r>
              <w:rPr>
                <w:sz w:val="19"/>
              </w:rPr>
              <w:t>0.3252</w:t>
            </w:r>
          </w:p>
        </w:tc>
        <w:tc>
          <w:tcPr>
            <w:tcW w:type="dxa" w:w="1152"/>
          </w:tcPr>
          <w:p>
            <w:r>
              <w:rPr>
                <w:sz w:val="19"/>
              </w:rPr>
              <w:t>1828</w:t>
            </w:r>
          </w:p>
        </w:tc>
        <w:tc>
          <w:tcPr>
            <w:tcW w:type="dxa" w:w="1152"/>
          </w:tcPr>
          <w:p>
            <w:r>
              <w:rPr>
                <w:sz w:val="19"/>
              </w:rPr>
              <w:t>6586</w:t>
            </w:r>
          </w:p>
        </w:tc>
        <w:tc>
          <w:tcPr>
            <w:tcW w:type="dxa" w:w="1152"/>
          </w:tcPr>
          <w:p>
            <w:r>
              <w:rPr>
                <w:sz w:val="19"/>
              </w:rPr>
              <w:t>1002</w:t>
            </w:r>
          </w:p>
        </w:tc>
        <w:tc>
          <w:tcPr>
            <w:tcW w:type="dxa" w:w="1728"/>
          </w:tcPr>
          <w:p>
            <w:r>
              <w:rPr>
                <w:sz w:val="19"/>
              </w:rPr>
              <w:t>20807</w:t>
            </w:r>
          </w:p>
        </w:tc>
      </w:tr>
      <w:tr>
        <w:tc>
          <w:tcPr>
            <w:tcW w:type="dxa" w:w="1872"/>
          </w:tcPr>
          <w:p>
            <w:r>
              <w:rPr>
                <w:sz w:val="19"/>
              </w:rPr>
              <w:t>Credit Card</w:t>
            </w:r>
          </w:p>
        </w:tc>
        <w:tc>
          <w:tcPr>
            <w:tcW w:type="dxa" w:w="1296"/>
          </w:tcPr>
          <w:p>
            <w:r>
              <w:rPr>
                <w:sz w:val="19"/>
              </w:rPr>
              <w:t>0.677</w:t>
            </w:r>
          </w:p>
        </w:tc>
        <w:tc>
          <w:tcPr>
            <w:tcW w:type="dxa" w:w="1296"/>
          </w:tcPr>
          <w:p>
            <w:r>
              <w:rPr>
                <w:sz w:val="19"/>
              </w:rPr>
              <w:t>0.1001</w:t>
            </w:r>
          </w:p>
        </w:tc>
        <w:tc>
          <w:tcPr>
            <w:tcW w:type="dxa" w:w="1152"/>
          </w:tcPr>
          <w:p>
            <w:r>
              <w:rPr>
                <w:sz w:val="19"/>
              </w:rPr>
              <w:t>83</w:t>
            </w:r>
          </w:p>
        </w:tc>
        <w:tc>
          <w:tcPr>
            <w:tcW w:type="dxa" w:w="1152"/>
          </w:tcPr>
          <w:p>
            <w:r>
              <w:rPr>
                <w:sz w:val="19"/>
              </w:rPr>
              <w:t>1481</w:t>
            </w:r>
          </w:p>
        </w:tc>
        <w:tc>
          <w:tcPr>
            <w:tcW w:type="dxa" w:w="1152"/>
          </w:tcPr>
          <w:p>
            <w:r>
              <w:rPr>
                <w:sz w:val="19"/>
              </w:rPr>
              <w:t>12</w:t>
            </w:r>
          </w:p>
        </w:tc>
        <w:tc>
          <w:tcPr>
            <w:tcW w:type="dxa" w:w="1728"/>
          </w:tcPr>
          <w:p>
            <w:r>
              <w:rPr>
                <w:sz w:val="19"/>
              </w:rPr>
              <w:t>55170</w:t>
            </w:r>
          </w:p>
        </w:tc>
      </w:tr>
    </w:tbl>
    <w:p/>
    <w:p>
      <w:pPr>
        <w:jc w:val="center"/>
      </w:pPr>
      <w:r>
        <w:drawing>
          <wp:inline xmlns:a="http://schemas.openxmlformats.org/drawingml/2006/main" xmlns:pic="http://schemas.openxmlformats.org/drawingml/2006/picture">
            <wp:extent cx="5669280" cy="4364674"/>
            <wp:docPr id="1" name="Picture 1"/>
            <wp:cNvGraphicFramePr>
              <a:graphicFrameLocks noChangeAspect="1"/>
            </wp:cNvGraphicFramePr>
            <a:graphic>
              <a:graphicData uri="http://schemas.openxmlformats.org/drawingml/2006/picture">
                <pic:pic>
                  <pic:nvPicPr>
                    <pic:cNvPr id="0" name="figM3_confusion_matrices.png"/>
                    <pic:cNvPicPr/>
                  </pic:nvPicPr>
                  <pic:blipFill>
                    <a:blip r:embed="rId9"/>
                    <a:stretch>
                      <a:fillRect/>
                    </a:stretch>
                  </pic:blipFill>
                  <pic:spPr>
                    <a:xfrm>
                      <a:off x="0" y="0"/>
                      <a:ext cx="5669280" cy="4364674"/>
                    </a:xfrm>
                    <a:prstGeom prst="rect"/>
                  </pic:spPr>
                </pic:pic>
              </a:graphicData>
            </a:graphic>
          </wp:inline>
        </w:drawing>
      </w:r>
    </w:p>
    <w:p>
      <w:pPr>
        <w:jc w:val="center"/>
      </w:pPr>
      <w:r>
        <w:rPr>
          <w:i/>
          <w:color w:val="9B9B9B"/>
          <w:sz w:val="18"/>
        </w:rPr>
        <w:t>Figure 1 — Confusion matrices for all models. Row = true label, Column = predicted label. Percentages are row-normalised.</w:t>
      </w:r>
    </w:p>
    <w:p/>
    <w:p>
      <w:pPr>
        <w:pStyle w:val="Heading1"/>
      </w:pPr>
      <w:r>
        <w:rPr>
          <w:color w:val="1A8917"/>
        </w:rPr>
        <w:t>3.  Ensemble Model: XGBoost with Hyperparameter Tuning</w:t>
      </w:r>
    </w:p>
    <w:p>
      <w:pPr>
        <w:pStyle w:val="Heading2"/>
      </w:pPr>
      <w:r>
        <w:rPr>
          <w:color w:val="1A1A1A"/>
        </w:rPr>
        <w:t>3.1  Why XGBoost?</w:t>
      </w:r>
    </w:p>
    <w:p>
      <w:r>
        <w:rPr>
          <w:sz w:val="21"/>
        </w:rPr>
        <w:t>XGBoost builds an ensemble of decision trees using gradient boosting. Each tree corrects the errors of the previous one, making it highly effective at capturing non-linear fraud patterns that Logistic Regression cannot model with linear boundaries.</w:t>
      </w:r>
    </w:p>
    <w:tbl>
      <w:tblPr>
        <w:tblStyle w:val="TableGrid"/>
        <w:tblW w:type="auto" w:w="0"/>
        <w:tblLook w:firstColumn="1" w:firstRow="1" w:lastColumn="0" w:lastRow="0" w:noHBand="0" w:noVBand="1" w:val="04A0"/>
      </w:tblPr>
      <w:tblGrid>
        <w:gridCol w:w="3022"/>
        <w:gridCol w:w="3022"/>
        <w:gridCol w:w="3022"/>
      </w:tblGrid>
      <w:tr>
        <w:tc>
          <w:tcPr>
            <w:tcW w:type="dxa" w:w="2160"/>
            <w:shd w:val="clear" w:color="auto" w:fill="2D6A4F"/>
          </w:tcPr>
          <w:p>
            <w:r>
              <w:rPr>
                <w:b/>
                <w:color w:val="FFFFFF"/>
                <w:sz w:val="19"/>
              </w:rPr>
              <w:t>Property</w:t>
            </w:r>
          </w:p>
        </w:tc>
        <w:tc>
          <w:tcPr>
            <w:tcW w:type="dxa" w:w="2880"/>
            <w:shd w:val="clear" w:color="auto" w:fill="2D6A4F"/>
          </w:tcPr>
          <w:p>
            <w:r>
              <w:rPr>
                <w:b/>
                <w:color w:val="FFFFFF"/>
                <w:sz w:val="19"/>
              </w:rPr>
              <w:t>Logistic Regression</w:t>
            </w:r>
          </w:p>
        </w:tc>
        <w:tc>
          <w:tcPr>
            <w:tcW w:type="dxa" w:w="4032"/>
            <w:shd w:val="clear" w:color="auto" w:fill="2D6A4F"/>
          </w:tcPr>
          <w:p>
            <w:r>
              <w:rPr>
                <w:b/>
                <w:color w:val="FFFFFF"/>
                <w:sz w:val="19"/>
              </w:rPr>
              <w:t>XGBoost</w:t>
            </w:r>
          </w:p>
        </w:tc>
      </w:tr>
      <w:tr>
        <w:tc>
          <w:tcPr>
            <w:tcW w:type="dxa" w:w="2160"/>
          </w:tcPr>
          <w:p>
            <w:r>
              <w:rPr>
                <w:sz w:val="19"/>
              </w:rPr>
              <w:t>Decision boundary</w:t>
            </w:r>
          </w:p>
        </w:tc>
        <w:tc>
          <w:tcPr>
            <w:tcW w:type="dxa" w:w="2880"/>
          </w:tcPr>
          <w:p>
            <w:r>
              <w:rPr>
                <w:sz w:val="19"/>
              </w:rPr>
              <w:t>Linear only</w:t>
            </w:r>
          </w:p>
        </w:tc>
        <w:tc>
          <w:tcPr>
            <w:tcW w:type="dxa" w:w="4032"/>
          </w:tcPr>
          <w:p>
            <w:r>
              <w:rPr>
                <w:sz w:val="19"/>
              </w:rPr>
              <w:t>Non-linear (ensemble trees)</w:t>
            </w:r>
          </w:p>
        </w:tc>
      </w:tr>
      <w:tr>
        <w:tc>
          <w:tcPr>
            <w:tcW w:type="dxa" w:w="2160"/>
          </w:tcPr>
          <w:p>
            <w:r>
              <w:rPr>
                <w:sz w:val="19"/>
              </w:rPr>
              <w:t>Handles interactions</w:t>
            </w:r>
          </w:p>
        </w:tc>
        <w:tc>
          <w:tcPr>
            <w:tcW w:type="dxa" w:w="2880"/>
          </w:tcPr>
          <w:p>
            <w:r>
              <w:rPr>
                <w:sz w:val="19"/>
              </w:rPr>
              <w:t>No</w:t>
            </w:r>
          </w:p>
        </w:tc>
        <w:tc>
          <w:tcPr>
            <w:tcW w:type="dxa" w:w="4032"/>
          </w:tcPr>
          <w:p>
            <w:r>
              <w:rPr>
                <w:sz w:val="19"/>
              </w:rPr>
              <w:t>Yes — automatically captures feature interactions</w:t>
            </w:r>
          </w:p>
        </w:tc>
      </w:tr>
      <w:tr>
        <w:tc>
          <w:tcPr>
            <w:tcW w:type="dxa" w:w="2160"/>
          </w:tcPr>
          <w:p>
            <w:r>
              <w:rPr>
                <w:sz w:val="19"/>
              </w:rPr>
              <w:t>Imbalance handling</w:t>
            </w:r>
          </w:p>
        </w:tc>
        <w:tc>
          <w:tcPr>
            <w:tcW w:type="dxa" w:w="2880"/>
          </w:tcPr>
          <w:p>
            <w:r>
              <w:rPr>
                <w:sz w:val="19"/>
              </w:rPr>
              <w:t>class_weight param</w:t>
            </w:r>
          </w:p>
        </w:tc>
        <w:tc>
          <w:tcPr>
            <w:tcW w:type="dxa" w:w="4032"/>
          </w:tcPr>
          <w:p>
            <w:r>
              <w:rPr>
                <w:sz w:val="19"/>
              </w:rPr>
              <w:t>scale_pos_weight + SMOTE</w:t>
            </w:r>
          </w:p>
        </w:tc>
      </w:tr>
      <w:tr>
        <w:tc>
          <w:tcPr>
            <w:tcW w:type="dxa" w:w="2160"/>
          </w:tcPr>
          <w:p>
            <w:r>
              <w:rPr>
                <w:sz w:val="19"/>
              </w:rPr>
              <w:t>Interpretability</w:t>
            </w:r>
          </w:p>
        </w:tc>
        <w:tc>
          <w:tcPr>
            <w:tcW w:type="dxa" w:w="2880"/>
          </w:tcPr>
          <w:p>
            <w:r>
              <w:rPr>
                <w:sz w:val="19"/>
              </w:rPr>
              <w:t>Direct coefficients</w:t>
            </w:r>
          </w:p>
        </w:tc>
        <w:tc>
          <w:tcPr>
            <w:tcW w:type="dxa" w:w="4032"/>
          </w:tcPr>
          <w:p>
            <w:r>
              <w:rPr>
                <w:sz w:val="19"/>
              </w:rPr>
              <w:t>SHAP values (Task 3)</w:t>
            </w:r>
          </w:p>
        </w:tc>
      </w:tr>
      <w:tr>
        <w:tc>
          <w:tcPr>
            <w:tcW w:type="dxa" w:w="2160"/>
          </w:tcPr>
          <w:p>
            <w:r>
              <w:rPr>
                <w:sz w:val="19"/>
              </w:rPr>
              <w:t>Training speed</w:t>
            </w:r>
          </w:p>
        </w:tc>
        <w:tc>
          <w:tcPr>
            <w:tcW w:type="dxa" w:w="2880"/>
          </w:tcPr>
          <w:p>
            <w:r>
              <w:rPr>
                <w:sz w:val="19"/>
              </w:rPr>
              <w:t>Fast</w:t>
            </w:r>
          </w:p>
        </w:tc>
        <w:tc>
          <w:tcPr>
            <w:tcW w:type="dxa" w:w="4032"/>
          </w:tcPr>
          <w:p>
            <w:r>
              <w:rPr>
                <w:sz w:val="19"/>
              </w:rPr>
              <w:t>Slower, but parallelizable</w:t>
            </w:r>
          </w:p>
        </w:tc>
      </w:tr>
    </w:tbl>
    <w:p/>
    <w:p>
      <w:pPr>
        <w:pStyle w:val="Heading2"/>
      </w:pPr>
      <w:r>
        <w:rPr>
          <w:color w:val="1A1A1A"/>
        </w:rPr>
        <w:t>3.2  Hyperparameter Tuning — RandomizedSearchCV</w:t>
      </w:r>
    </w:p>
    <w:p>
      <w:r>
        <w:rPr>
          <w:sz w:val="21"/>
        </w:rPr>
        <w:t>RandomizedSearchCV with 12 random configurations across the search space below, evaluated via 5-fold stratified CV scored on average_precision (AUC-PR):</w:t>
      </w:r>
    </w:p>
    <w:tbl>
      <w:tblPr>
        <w:tblStyle w:val="TableGrid"/>
        <w:tblW w:type="auto" w:w="0"/>
        <w:tblLook w:firstColumn="1" w:firstRow="1" w:lastColumn="0" w:lastRow="0" w:noHBand="0" w:noVBand="1" w:val="04A0"/>
      </w:tblPr>
      <w:tblGrid>
        <w:gridCol w:w="3022"/>
        <w:gridCol w:w="3022"/>
        <w:gridCol w:w="3022"/>
      </w:tblGrid>
      <w:tr>
        <w:tc>
          <w:tcPr>
            <w:tcW w:type="dxa" w:w="2592"/>
            <w:shd w:val="clear" w:color="auto" w:fill="2D6A4F"/>
          </w:tcPr>
          <w:p>
            <w:r>
              <w:rPr>
                <w:b/>
                <w:color w:val="FFFFFF"/>
                <w:sz w:val="19"/>
              </w:rPr>
              <w:t>Parameter</w:t>
            </w:r>
          </w:p>
        </w:tc>
        <w:tc>
          <w:tcPr>
            <w:tcW w:type="dxa" w:w="3024"/>
            <w:shd w:val="clear" w:color="auto" w:fill="2D6A4F"/>
          </w:tcPr>
          <w:p>
            <w:r>
              <w:rPr>
                <w:b/>
                <w:color w:val="FFFFFF"/>
                <w:sz w:val="19"/>
              </w:rPr>
              <w:t>Best Value — E-Commerce</w:t>
            </w:r>
          </w:p>
        </w:tc>
        <w:tc>
          <w:tcPr>
            <w:tcW w:type="dxa" w:w="3024"/>
            <w:shd w:val="clear" w:color="auto" w:fill="2D6A4F"/>
          </w:tcPr>
          <w:p>
            <w:r>
              <w:rPr>
                <w:b/>
                <w:color w:val="FFFFFF"/>
                <w:sz w:val="19"/>
              </w:rPr>
              <w:t>Best Value — Credit Card</w:t>
            </w:r>
          </w:p>
        </w:tc>
      </w:tr>
      <w:tr>
        <w:tc>
          <w:tcPr>
            <w:tcW w:type="dxa" w:w="2592"/>
          </w:tcPr>
          <w:p>
            <w:r>
              <w:rPr>
                <w:sz w:val="19"/>
              </w:rPr>
              <w:t>colsample_bytree</w:t>
            </w:r>
          </w:p>
        </w:tc>
        <w:tc>
          <w:tcPr>
            <w:tcW w:type="dxa" w:w="3024"/>
          </w:tcPr>
          <w:p>
            <w:r>
              <w:rPr>
                <w:sz w:val="19"/>
              </w:rPr>
              <w:t>0.7</w:t>
            </w:r>
          </w:p>
        </w:tc>
        <w:tc>
          <w:tcPr>
            <w:tcW w:type="dxa" w:w="3024"/>
          </w:tcPr>
          <w:p>
            <w:r>
              <w:rPr>
                <w:sz w:val="19"/>
              </w:rPr>
              <w:t>0.7</w:t>
            </w:r>
          </w:p>
        </w:tc>
      </w:tr>
      <w:tr>
        <w:tc>
          <w:tcPr>
            <w:tcW w:type="dxa" w:w="2592"/>
          </w:tcPr>
          <w:p>
            <w:r>
              <w:rPr>
                <w:sz w:val="19"/>
              </w:rPr>
              <w:t>learning_rate</w:t>
            </w:r>
          </w:p>
        </w:tc>
        <w:tc>
          <w:tcPr>
            <w:tcW w:type="dxa" w:w="3024"/>
          </w:tcPr>
          <w:p>
            <w:r>
              <w:rPr>
                <w:sz w:val="19"/>
              </w:rPr>
              <w:t>0.2</w:t>
            </w:r>
          </w:p>
        </w:tc>
        <w:tc>
          <w:tcPr>
            <w:tcW w:type="dxa" w:w="3024"/>
          </w:tcPr>
          <w:p>
            <w:r>
              <w:rPr>
                <w:sz w:val="19"/>
              </w:rPr>
              <w:t>0.2</w:t>
            </w:r>
          </w:p>
        </w:tc>
      </w:tr>
      <w:tr>
        <w:tc>
          <w:tcPr>
            <w:tcW w:type="dxa" w:w="2592"/>
          </w:tcPr>
          <w:p>
            <w:r>
              <w:rPr>
                <w:sz w:val="19"/>
              </w:rPr>
              <w:t>max_depth</w:t>
            </w:r>
          </w:p>
        </w:tc>
        <w:tc>
          <w:tcPr>
            <w:tcW w:type="dxa" w:w="3024"/>
          </w:tcPr>
          <w:p>
            <w:r>
              <w:rPr>
                <w:sz w:val="19"/>
              </w:rPr>
              <w:t>7</w:t>
            </w:r>
          </w:p>
        </w:tc>
        <w:tc>
          <w:tcPr>
            <w:tcW w:type="dxa" w:w="3024"/>
          </w:tcPr>
          <w:p>
            <w:r>
              <w:rPr>
                <w:sz w:val="19"/>
              </w:rPr>
              <w:t>7</w:t>
            </w:r>
          </w:p>
        </w:tc>
      </w:tr>
      <w:tr>
        <w:tc>
          <w:tcPr>
            <w:tcW w:type="dxa" w:w="2592"/>
          </w:tcPr>
          <w:p>
            <w:r>
              <w:rPr>
                <w:sz w:val="19"/>
              </w:rPr>
              <w:t>min_child_weight</w:t>
            </w:r>
          </w:p>
        </w:tc>
        <w:tc>
          <w:tcPr>
            <w:tcW w:type="dxa" w:w="3024"/>
          </w:tcPr>
          <w:p>
            <w:r>
              <w:rPr>
                <w:sz w:val="19"/>
              </w:rPr>
              <w:t>1</w:t>
            </w:r>
          </w:p>
        </w:tc>
        <w:tc>
          <w:tcPr>
            <w:tcW w:type="dxa" w:w="3024"/>
          </w:tcPr>
          <w:p>
            <w:r>
              <w:rPr>
                <w:sz w:val="19"/>
              </w:rPr>
              <w:t>1</w:t>
            </w:r>
          </w:p>
        </w:tc>
      </w:tr>
      <w:tr>
        <w:tc>
          <w:tcPr>
            <w:tcW w:type="dxa" w:w="2592"/>
          </w:tcPr>
          <w:p>
            <w:r>
              <w:rPr>
                <w:sz w:val="19"/>
              </w:rPr>
              <w:t>n_estimators</w:t>
            </w:r>
          </w:p>
        </w:tc>
        <w:tc>
          <w:tcPr>
            <w:tcW w:type="dxa" w:w="3024"/>
          </w:tcPr>
          <w:p>
            <w:r>
              <w:rPr>
                <w:sz w:val="19"/>
              </w:rPr>
              <w:t>150</w:t>
            </w:r>
          </w:p>
        </w:tc>
        <w:tc>
          <w:tcPr>
            <w:tcW w:type="dxa" w:w="3024"/>
          </w:tcPr>
          <w:p>
            <w:r>
              <w:rPr>
                <w:sz w:val="19"/>
              </w:rPr>
              <w:t>150</w:t>
            </w:r>
          </w:p>
        </w:tc>
      </w:tr>
      <w:tr>
        <w:tc>
          <w:tcPr>
            <w:tcW w:type="dxa" w:w="2592"/>
          </w:tcPr>
          <w:p>
            <w:r>
              <w:rPr>
                <w:sz w:val="19"/>
              </w:rPr>
              <w:t>subsample</w:t>
            </w:r>
          </w:p>
        </w:tc>
        <w:tc>
          <w:tcPr>
            <w:tcW w:type="dxa" w:w="3024"/>
          </w:tcPr>
          <w:p>
            <w:r>
              <w:rPr>
                <w:sz w:val="19"/>
              </w:rPr>
              <w:t>0.9</w:t>
            </w:r>
          </w:p>
        </w:tc>
        <w:tc>
          <w:tcPr>
            <w:tcW w:type="dxa" w:w="3024"/>
          </w:tcPr>
          <w:p>
            <w:r>
              <w:rPr>
                <w:sz w:val="19"/>
              </w:rPr>
              <w:t>0.9</w:t>
            </w:r>
          </w:p>
        </w:tc>
      </w:tr>
    </w:tbl>
    <w:p/>
    <w:p>
      <w:pPr>
        <w:pStyle w:val="Heading2"/>
      </w:pPr>
      <w:r>
        <w:rPr>
          <w:color w:val="1A1A1A"/>
        </w:rPr>
        <w:t>3.3  XGBoost Test Set Results</w:t>
      </w:r>
    </w:p>
    <w:tbl>
      <w:tblPr>
        <w:tblStyle w:val="TableGrid"/>
        <w:tblW w:type="auto" w:w="0"/>
        <w:tblLook w:firstColumn="1" w:firstRow="1" w:lastColumn="0" w:lastRow="0" w:noHBand="0" w:noVBand="1" w:val="04A0"/>
      </w:tblPr>
      <w:tblGrid>
        <w:gridCol w:w="1295"/>
        <w:gridCol w:w="1295"/>
        <w:gridCol w:w="1295"/>
        <w:gridCol w:w="1295"/>
        <w:gridCol w:w="1295"/>
        <w:gridCol w:w="1295"/>
        <w:gridCol w:w="1295"/>
      </w:tblGrid>
      <w:tr>
        <w:tc>
          <w:tcPr>
            <w:tcW w:type="dxa" w:w="1872"/>
            <w:shd w:val="clear" w:color="auto" w:fill="2D6A4F"/>
          </w:tcPr>
          <w:p>
            <w:r>
              <w:rPr>
                <w:b/>
                <w:color w:val="FFFFFF"/>
                <w:sz w:val="19"/>
              </w:rPr>
              <w:t>Dataset</w:t>
            </w:r>
          </w:p>
        </w:tc>
        <w:tc>
          <w:tcPr>
            <w:tcW w:type="dxa" w:w="1296"/>
            <w:shd w:val="clear" w:color="auto" w:fill="2D6A4F"/>
          </w:tcPr>
          <w:p>
            <w:r>
              <w:rPr>
                <w:b/>
                <w:color w:val="FFFFFF"/>
                <w:sz w:val="19"/>
              </w:rPr>
              <w:t>AUC-PR</w:t>
            </w:r>
          </w:p>
        </w:tc>
        <w:tc>
          <w:tcPr>
            <w:tcW w:type="dxa" w:w="1296"/>
            <w:shd w:val="clear" w:color="auto" w:fill="2D6A4F"/>
          </w:tcPr>
          <w:p>
            <w:r>
              <w:rPr>
                <w:b/>
                <w:color w:val="FFFFFF"/>
                <w:sz w:val="19"/>
              </w:rPr>
              <w:t>F1-Score</w:t>
            </w:r>
          </w:p>
        </w:tc>
        <w:tc>
          <w:tcPr>
            <w:tcW w:type="dxa" w:w="1152"/>
            <w:shd w:val="clear" w:color="auto" w:fill="2D6A4F"/>
          </w:tcPr>
          <w:p>
            <w:r>
              <w:rPr>
                <w:b/>
                <w:color w:val="FFFFFF"/>
                <w:sz w:val="19"/>
              </w:rPr>
              <w:t>TP</w:t>
            </w:r>
          </w:p>
        </w:tc>
        <w:tc>
          <w:tcPr>
            <w:tcW w:type="dxa" w:w="1152"/>
            <w:shd w:val="clear" w:color="auto" w:fill="2D6A4F"/>
          </w:tcPr>
          <w:p>
            <w:r>
              <w:rPr>
                <w:b/>
                <w:color w:val="FFFFFF"/>
                <w:sz w:val="19"/>
              </w:rPr>
              <w:t>FP</w:t>
            </w:r>
          </w:p>
        </w:tc>
        <w:tc>
          <w:tcPr>
            <w:tcW w:type="dxa" w:w="1152"/>
            <w:shd w:val="clear" w:color="auto" w:fill="2D6A4F"/>
          </w:tcPr>
          <w:p>
            <w:r>
              <w:rPr>
                <w:b/>
                <w:color w:val="FFFFFF"/>
                <w:sz w:val="19"/>
              </w:rPr>
              <w:t>FN</w:t>
            </w:r>
          </w:p>
        </w:tc>
        <w:tc>
          <w:tcPr>
            <w:tcW w:type="dxa" w:w="1728"/>
            <w:shd w:val="clear" w:color="auto" w:fill="2D6A4F"/>
          </w:tcPr>
          <w:p>
            <w:r>
              <w:rPr>
                <w:b/>
                <w:color w:val="FFFFFF"/>
                <w:sz w:val="19"/>
              </w:rPr>
              <w:t>TN</w:t>
            </w:r>
          </w:p>
        </w:tc>
      </w:tr>
      <w:tr>
        <w:tc>
          <w:tcPr>
            <w:tcW w:type="dxa" w:w="1872"/>
            <w:shd w:val="clear" w:color="auto" w:fill="FFF3CD"/>
          </w:tcPr>
          <w:p>
            <w:r>
              <w:rPr>
                <w:b/>
                <w:sz w:val="19"/>
              </w:rPr>
              <w:t>E-Commerce</w:t>
            </w:r>
          </w:p>
        </w:tc>
        <w:tc>
          <w:tcPr>
            <w:tcW w:type="dxa" w:w="1296"/>
            <w:shd w:val="clear" w:color="auto" w:fill="FFF3CD"/>
          </w:tcPr>
          <w:p>
            <w:r>
              <w:rPr>
                <w:b/>
                <w:sz w:val="19"/>
              </w:rPr>
              <w:t>0.6286</w:t>
            </w:r>
          </w:p>
        </w:tc>
        <w:tc>
          <w:tcPr>
            <w:tcW w:type="dxa" w:w="1296"/>
            <w:shd w:val="clear" w:color="auto" w:fill="FFF3CD"/>
          </w:tcPr>
          <w:p>
            <w:r>
              <w:rPr>
                <w:b/>
                <w:sz w:val="19"/>
              </w:rPr>
              <w:t>0.6925</w:t>
            </w:r>
          </w:p>
        </w:tc>
        <w:tc>
          <w:tcPr>
            <w:tcW w:type="dxa" w:w="1152"/>
            <w:shd w:val="clear" w:color="auto" w:fill="FFF3CD"/>
          </w:tcPr>
          <w:p>
            <w:r>
              <w:rPr>
                <w:b/>
                <w:sz w:val="19"/>
              </w:rPr>
              <w:t>1535</w:t>
            </w:r>
          </w:p>
        </w:tc>
        <w:tc>
          <w:tcPr>
            <w:tcW w:type="dxa" w:w="1152"/>
            <w:shd w:val="clear" w:color="auto" w:fill="FFF3CD"/>
          </w:tcPr>
          <w:p>
            <w:r>
              <w:rPr>
                <w:b/>
                <w:sz w:val="19"/>
              </w:rPr>
              <w:t>68</w:t>
            </w:r>
          </w:p>
        </w:tc>
        <w:tc>
          <w:tcPr>
            <w:tcW w:type="dxa" w:w="1152"/>
            <w:shd w:val="clear" w:color="auto" w:fill="FFF3CD"/>
          </w:tcPr>
          <w:p>
            <w:r>
              <w:rPr>
                <w:b/>
                <w:sz w:val="19"/>
              </w:rPr>
              <w:t>1295</w:t>
            </w:r>
          </w:p>
        </w:tc>
        <w:tc>
          <w:tcPr>
            <w:tcW w:type="dxa" w:w="1728"/>
            <w:shd w:val="clear" w:color="auto" w:fill="FFF3CD"/>
          </w:tcPr>
          <w:p>
            <w:r>
              <w:rPr>
                <w:b/>
                <w:sz w:val="19"/>
              </w:rPr>
              <w:t>27325</w:t>
            </w:r>
          </w:p>
        </w:tc>
      </w:tr>
      <w:tr>
        <w:tc>
          <w:tcPr>
            <w:tcW w:type="dxa" w:w="1872"/>
            <w:shd w:val="clear" w:color="auto" w:fill="FFF3CD"/>
          </w:tcPr>
          <w:p>
            <w:r>
              <w:rPr>
                <w:b/>
                <w:sz w:val="19"/>
              </w:rPr>
              <w:t>Credit Card</w:t>
            </w:r>
          </w:p>
        </w:tc>
        <w:tc>
          <w:tcPr>
            <w:tcW w:type="dxa" w:w="1296"/>
            <w:shd w:val="clear" w:color="auto" w:fill="FFF3CD"/>
          </w:tcPr>
          <w:p>
            <w:r>
              <w:rPr>
                <w:b/>
                <w:sz w:val="19"/>
              </w:rPr>
              <w:t>0.8097</w:t>
            </w:r>
          </w:p>
        </w:tc>
        <w:tc>
          <w:tcPr>
            <w:tcW w:type="dxa" w:w="1296"/>
            <w:shd w:val="clear" w:color="auto" w:fill="FFF3CD"/>
          </w:tcPr>
          <w:p>
            <w:r>
              <w:rPr>
                <w:b/>
                <w:sz w:val="19"/>
              </w:rPr>
              <w:t>0.7831</w:t>
            </w:r>
          </w:p>
        </w:tc>
        <w:tc>
          <w:tcPr>
            <w:tcW w:type="dxa" w:w="1152"/>
            <w:shd w:val="clear" w:color="auto" w:fill="FFF3CD"/>
          </w:tcPr>
          <w:p>
            <w:r>
              <w:rPr>
                <w:b/>
                <w:sz w:val="19"/>
              </w:rPr>
              <w:t>74</w:t>
            </w:r>
          </w:p>
        </w:tc>
        <w:tc>
          <w:tcPr>
            <w:tcW w:type="dxa" w:w="1152"/>
            <w:shd w:val="clear" w:color="auto" w:fill="FFF3CD"/>
          </w:tcPr>
          <w:p>
            <w:r>
              <w:rPr>
                <w:b/>
                <w:sz w:val="19"/>
              </w:rPr>
              <w:t>20</w:t>
            </w:r>
          </w:p>
        </w:tc>
        <w:tc>
          <w:tcPr>
            <w:tcW w:type="dxa" w:w="1152"/>
            <w:shd w:val="clear" w:color="auto" w:fill="FFF3CD"/>
          </w:tcPr>
          <w:p>
            <w:r>
              <w:rPr>
                <w:b/>
                <w:sz w:val="19"/>
              </w:rPr>
              <w:t>21</w:t>
            </w:r>
          </w:p>
        </w:tc>
        <w:tc>
          <w:tcPr>
            <w:tcW w:type="dxa" w:w="1728"/>
            <w:shd w:val="clear" w:color="auto" w:fill="FFF3CD"/>
          </w:tcPr>
          <w:p>
            <w:r>
              <w:rPr>
                <w:b/>
                <w:sz w:val="19"/>
              </w:rPr>
              <w:t>56631</w:t>
            </w:r>
          </w:p>
        </w:tc>
      </w:tr>
    </w:tbl>
    <w:p/>
    <w:p>
      <w:pPr>
        <w:pStyle w:val="Heading1"/>
      </w:pPr>
      <w:r>
        <w:rPr>
          <w:color w:val="1A8917"/>
        </w:rPr>
        <w:t>4.  Stratified K-Fold Cross-Validation (k=5)</w:t>
      </w:r>
    </w:p>
    <w:p>
      <w:r>
        <w:rPr>
          <w:sz w:val="21"/>
        </w:rPr>
        <w:t>Standard K-Fold risks concentrating all fraud cases in one fold on severely imbalanced data. Stratified K-Fold guarantees each fold preserves the class ratio. SMOTE was applied only to training folds — never to the validation fold.</w:t>
      </w:r>
    </w:p>
    <w:tbl>
      <w:tblPr>
        <w:tblStyle w:val="TableGrid"/>
        <w:tblW w:type="auto" w:w="0"/>
        <w:tblLook w:firstColumn="1" w:firstRow="1" w:lastColumn="0" w:lastRow="0" w:noHBand="0" w:noVBand="1" w:val="04A0"/>
      </w:tblPr>
      <w:tblGrid>
        <w:gridCol w:w="2266"/>
        <w:gridCol w:w="2266"/>
        <w:gridCol w:w="2266"/>
        <w:gridCol w:w="2266"/>
      </w:tblGrid>
      <w:tr>
        <w:tc>
          <w:tcPr>
            <w:tcW w:type="dxa" w:w="1872"/>
            <w:shd w:val="clear" w:color="auto" w:fill="2D6A4F"/>
          </w:tcPr>
          <w:p>
            <w:r>
              <w:rPr>
                <w:b/>
                <w:color w:val="FFFFFF"/>
                <w:sz w:val="19"/>
              </w:rPr>
              <w:t>Dataset</w:t>
            </w:r>
          </w:p>
        </w:tc>
        <w:tc>
          <w:tcPr>
            <w:tcW w:type="dxa" w:w="2880"/>
            <w:shd w:val="clear" w:color="auto" w:fill="2D6A4F"/>
          </w:tcPr>
          <w:p>
            <w:r>
              <w:rPr>
                <w:b/>
                <w:color w:val="FFFFFF"/>
                <w:sz w:val="19"/>
              </w:rPr>
              <w:t>CV AUC-PR (mean ± std)</w:t>
            </w:r>
          </w:p>
        </w:tc>
        <w:tc>
          <w:tcPr>
            <w:tcW w:type="dxa" w:w="2592"/>
            <w:shd w:val="clear" w:color="auto" w:fill="2D6A4F"/>
          </w:tcPr>
          <w:p>
            <w:r>
              <w:rPr>
                <w:b/>
                <w:color w:val="FFFFFF"/>
                <w:sz w:val="19"/>
              </w:rPr>
              <w:t>CV F1 (mean ± std)</w:t>
            </w:r>
          </w:p>
        </w:tc>
        <w:tc>
          <w:tcPr>
            <w:tcW w:type="dxa" w:w="3024"/>
            <w:shd w:val="clear" w:color="auto" w:fill="2D6A4F"/>
          </w:tcPr>
          <w:p>
            <w:r>
              <w:rPr>
                <w:b/>
                <w:color w:val="FFFFFF"/>
                <w:sz w:val="19"/>
              </w:rPr>
              <w:t>Interpretation</w:t>
            </w:r>
          </w:p>
        </w:tc>
      </w:tr>
      <w:tr>
        <w:tc>
          <w:tcPr>
            <w:tcW w:type="dxa" w:w="1872"/>
          </w:tcPr>
          <w:p>
            <w:r>
              <w:rPr>
                <w:sz w:val="19"/>
              </w:rPr>
              <w:t>E-Commerce</w:t>
            </w:r>
          </w:p>
        </w:tc>
        <w:tc>
          <w:tcPr>
            <w:tcW w:type="dxa" w:w="2880"/>
          </w:tcPr>
          <w:p>
            <w:r>
              <w:rPr>
                <w:sz w:val="19"/>
              </w:rPr>
              <w:t>0.9743+/-0.0008</w:t>
            </w:r>
          </w:p>
        </w:tc>
        <w:tc>
          <w:tcPr>
            <w:tcW w:type="dxa" w:w="2592"/>
          </w:tcPr>
          <w:p>
            <w:r>
              <w:rPr>
                <w:sz w:val="19"/>
              </w:rPr>
              <w:t>0.9208+/-0.0069</w:t>
            </w:r>
          </w:p>
        </w:tc>
        <w:tc>
          <w:tcPr>
            <w:tcW w:type="dxa" w:w="3024"/>
          </w:tcPr>
          <w:p>
            <w:r>
              <w:rPr>
                <w:sz w:val="19"/>
              </w:rPr>
              <w:t>Stable across folds if std &lt; 0.02</w:t>
            </w:r>
          </w:p>
        </w:tc>
      </w:tr>
      <w:tr>
        <w:tc>
          <w:tcPr>
            <w:tcW w:type="dxa" w:w="1872"/>
          </w:tcPr>
          <w:p>
            <w:r>
              <w:rPr>
                <w:sz w:val="19"/>
              </w:rPr>
              <w:t>Credit Card</w:t>
            </w:r>
          </w:p>
        </w:tc>
        <w:tc>
          <w:tcPr>
            <w:tcW w:type="dxa" w:w="2880"/>
          </w:tcPr>
          <w:p>
            <w:r>
              <w:rPr>
                <w:sz w:val="19"/>
              </w:rPr>
              <w:t>1.0000+/-0.0000</w:t>
            </w:r>
          </w:p>
        </w:tc>
        <w:tc>
          <w:tcPr>
            <w:tcW w:type="dxa" w:w="2592"/>
          </w:tcPr>
          <w:p>
            <w:r>
              <w:rPr>
                <w:sz w:val="19"/>
              </w:rPr>
              <w:t>0.9998+/-0.0000</w:t>
            </w:r>
          </w:p>
        </w:tc>
        <w:tc>
          <w:tcPr>
            <w:tcW w:type="dxa" w:w="3024"/>
          </w:tcPr>
          <w:p>
            <w:r>
              <w:rPr>
                <w:sz w:val="19"/>
              </w:rPr>
              <w:t>Stable across folds if std &lt; 0.02</w:t>
            </w:r>
          </w:p>
        </w:tc>
      </w:tr>
    </w:tbl>
    <w:p/>
    <w:p>
      <w:pPr>
        <w:jc w:val="center"/>
      </w:pPr>
      <w:r>
        <w:drawing>
          <wp:inline xmlns:a="http://schemas.openxmlformats.org/drawingml/2006/main" xmlns:pic="http://schemas.openxmlformats.org/drawingml/2006/picture">
            <wp:extent cx="5669280" cy="2237641"/>
            <wp:docPr id="2" name="Picture 2"/>
            <wp:cNvGraphicFramePr>
              <a:graphicFrameLocks noChangeAspect="1"/>
            </wp:cNvGraphicFramePr>
            <a:graphic>
              <a:graphicData uri="http://schemas.openxmlformats.org/drawingml/2006/picture">
                <pic:pic>
                  <pic:nvPicPr>
                    <pic:cNvPr id="0" name="figM4_cv_results.png"/>
                    <pic:cNvPicPr/>
                  </pic:nvPicPr>
                  <pic:blipFill>
                    <a:blip r:embed="rId10"/>
                    <a:stretch>
                      <a:fillRect/>
                    </a:stretch>
                  </pic:blipFill>
                  <pic:spPr>
                    <a:xfrm>
                      <a:off x="0" y="0"/>
                      <a:ext cx="5669280" cy="2237641"/>
                    </a:xfrm>
                    <a:prstGeom prst="rect"/>
                  </pic:spPr>
                </pic:pic>
              </a:graphicData>
            </a:graphic>
          </wp:inline>
        </w:drawing>
      </w:r>
    </w:p>
    <w:p>
      <w:pPr>
        <w:jc w:val="center"/>
      </w:pPr>
      <w:r>
        <w:rPr>
          <w:i/>
          <w:color w:val="9B9B9B"/>
          <w:sz w:val="18"/>
        </w:rPr>
        <w:t>Figure 2 — Per-fold AUC-PR and F1-Score for XGBoost (k=5). Dashed lines = mean. Narrow spread = reliable generalisation.</w:t>
      </w:r>
    </w:p>
    <w:p/>
    <w:p>
      <w:pPr>
        <w:pStyle w:val="Heading1"/>
      </w:pPr>
      <w:r>
        <w:rPr>
          <w:color w:val="1A8917"/>
        </w:rPr>
        <w:t>5.  Precision-Recall Curves</w:t>
      </w:r>
    </w:p>
    <w:p>
      <w:r>
        <w:rPr>
          <w:sz w:val="21"/>
        </w:rPr>
        <w:t>The Precision-Recall curve plots the trade-off between catching more fraud (high recall) and avoiding false alarms (high precision). The area under this curve (AUC-PR) is our primary evaluation metric — it is far more informative than ROC-AUC on imbalanced data.</w:t>
      </w:r>
    </w:p>
    <w:p>
      <w:pPr>
        <w:jc w:val="center"/>
      </w:pPr>
      <w:r>
        <w:drawing>
          <wp:inline xmlns:a="http://schemas.openxmlformats.org/drawingml/2006/main" xmlns:pic="http://schemas.openxmlformats.org/drawingml/2006/picture">
            <wp:extent cx="5669280" cy="2131508"/>
            <wp:docPr id="3" name="Picture 3"/>
            <wp:cNvGraphicFramePr>
              <a:graphicFrameLocks noChangeAspect="1"/>
            </wp:cNvGraphicFramePr>
            <a:graphic>
              <a:graphicData uri="http://schemas.openxmlformats.org/drawingml/2006/picture">
                <pic:pic>
                  <pic:nvPicPr>
                    <pic:cNvPr id="0" name="figM2_pr_curves.png"/>
                    <pic:cNvPicPr/>
                  </pic:nvPicPr>
                  <pic:blipFill>
                    <a:blip r:embed="rId11"/>
                    <a:stretch>
                      <a:fillRect/>
                    </a:stretch>
                  </pic:blipFill>
                  <pic:spPr>
                    <a:xfrm>
                      <a:off x="0" y="0"/>
                      <a:ext cx="5669280" cy="2131508"/>
                    </a:xfrm>
                    <a:prstGeom prst="rect"/>
                  </pic:spPr>
                </pic:pic>
              </a:graphicData>
            </a:graphic>
          </wp:inline>
        </w:drawing>
      </w:r>
    </w:p>
    <w:p>
      <w:pPr>
        <w:jc w:val="center"/>
      </w:pPr>
      <w:r>
        <w:rPr>
          <w:i/>
          <w:color w:val="9B9B9B"/>
          <w:sz w:val="18"/>
        </w:rPr>
        <w:t>Figure 3 — PR curves for both models on both datasets. XGBoost (dashed) dominates Logistic Regression. The grey dotted line is the random baseline.</w:t>
      </w:r>
    </w:p>
    <w:p/>
    <w:p>
      <w:pPr>
        <w:shd w:val="clear" w:color="auto" w:fill="FFF8E7"/>
      </w:pPr>
      <w:r>
        <w:rPr>
          <w:b/>
          <w:color w:val="B07D1A"/>
        </w:rPr>
        <w:t xml:space="preserve">📈  Reading the PR curve:  </w:t>
      </w:r>
      <w:r>
        <w:t>A model hugging the top-right corner is ideal — high precision and high recall simultaneously. The steeper the initial rise, the better the model ranks true fraud cases at the top of its score distribution. XGBoost achieves this on both datasets.</w:t>
      </w:r>
    </w:p>
    <w:p/>
    <w:p>
      <w:pPr>
        <w:pStyle w:val="Heading1"/>
      </w:pPr>
      <w:r>
        <w:rPr>
          <w:color w:val="1A8917"/>
        </w:rPr>
        <w:t>6.  Full Model Comparison</w:t>
      </w:r>
    </w:p>
    <w:tbl>
      <w:tblPr>
        <w:tblStyle w:val="TableGrid"/>
        <w:tblW w:type="auto" w:w="0"/>
        <w:tblLook w:firstColumn="1" w:firstRow="1" w:lastColumn="0" w:lastRow="0" w:noHBand="0" w:noVBand="1" w:val="04A0"/>
      </w:tblPr>
      <w:tblGrid>
        <w:gridCol w:w="1295"/>
        <w:gridCol w:w="1295"/>
        <w:gridCol w:w="1295"/>
        <w:gridCol w:w="1295"/>
        <w:gridCol w:w="1295"/>
        <w:gridCol w:w="1295"/>
        <w:gridCol w:w="1295"/>
      </w:tblGrid>
      <w:tr>
        <w:tc>
          <w:tcPr>
            <w:tcW w:type="dxa" w:w="1728"/>
            <w:shd w:val="clear" w:color="auto" w:fill="2D6A4F"/>
          </w:tcPr>
          <w:p>
            <w:r>
              <w:rPr>
                <w:b/>
                <w:color w:val="FFFFFF"/>
                <w:sz w:val="19"/>
              </w:rPr>
              <w:t>Dataset</w:t>
            </w:r>
          </w:p>
        </w:tc>
        <w:tc>
          <w:tcPr>
            <w:tcW w:type="dxa" w:w="2304"/>
            <w:shd w:val="clear" w:color="auto" w:fill="2D6A4F"/>
          </w:tcPr>
          <w:p>
            <w:r>
              <w:rPr>
                <w:b/>
                <w:color w:val="FFFFFF"/>
                <w:sz w:val="19"/>
              </w:rPr>
              <w:t>Model</w:t>
            </w:r>
          </w:p>
        </w:tc>
        <w:tc>
          <w:tcPr>
            <w:tcW w:type="dxa" w:w="1152"/>
            <w:shd w:val="clear" w:color="auto" w:fill="2D6A4F"/>
          </w:tcPr>
          <w:p>
            <w:r>
              <w:rPr>
                <w:b/>
                <w:color w:val="FFFFFF"/>
                <w:sz w:val="19"/>
              </w:rPr>
              <w:t>AUC-PR</w:t>
            </w:r>
          </w:p>
        </w:tc>
        <w:tc>
          <w:tcPr>
            <w:tcW w:type="dxa" w:w="1008"/>
            <w:shd w:val="clear" w:color="auto" w:fill="2D6A4F"/>
          </w:tcPr>
          <w:p>
            <w:r>
              <w:rPr>
                <w:b/>
                <w:color w:val="FFFFFF"/>
                <w:sz w:val="19"/>
              </w:rPr>
              <w:t>F1</w:t>
            </w:r>
          </w:p>
        </w:tc>
        <w:tc>
          <w:tcPr>
            <w:tcW w:type="dxa" w:w="2448"/>
            <w:shd w:val="clear" w:color="auto" w:fill="2D6A4F"/>
          </w:tcPr>
          <w:p>
            <w:r>
              <w:rPr>
                <w:b/>
                <w:color w:val="FFFFFF"/>
                <w:sz w:val="19"/>
              </w:rPr>
              <w:t>CV AUC-PR</w:t>
            </w:r>
          </w:p>
        </w:tc>
        <w:tc>
          <w:tcPr>
            <w:tcW w:type="dxa" w:w="2160"/>
            <w:shd w:val="clear" w:color="auto" w:fill="2D6A4F"/>
          </w:tcPr>
          <w:p>
            <w:r>
              <w:rPr>
                <w:b/>
                <w:color w:val="FFFFFF"/>
                <w:sz w:val="19"/>
              </w:rPr>
              <w:t>CV F1</w:t>
            </w:r>
          </w:p>
        </w:tc>
        <w:tc>
          <w:tcPr>
            <w:tcW w:type="dxa" w:w="1872"/>
            <w:shd w:val="clear" w:color="auto" w:fill="2D6A4F"/>
          </w:tcPr>
          <w:p>
            <w:r>
              <w:rPr>
                <w:b/>
                <w:color w:val="FFFFFF"/>
                <w:sz w:val="19"/>
              </w:rPr>
              <w:t>FN (missed fraud)</w:t>
            </w:r>
          </w:p>
        </w:tc>
      </w:tr>
      <w:tr>
        <w:tc>
          <w:tcPr>
            <w:tcW w:type="dxa" w:w="1728"/>
          </w:tcPr>
          <w:p>
            <w:r>
              <w:rPr>
                <w:sz w:val="19"/>
              </w:rPr>
              <w:t>E-Commerce</w:t>
            </w:r>
          </w:p>
        </w:tc>
        <w:tc>
          <w:tcPr>
            <w:tcW w:type="dxa" w:w="2304"/>
          </w:tcPr>
          <w:p>
            <w:r>
              <w:rPr>
                <w:sz w:val="19"/>
              </w:rPr>
              <w:t>Logistic Regression</w:t>
            </w:r>
          </w:p>
        </w:tc>
        <w:tc>
          <w:tcPr>
            <w:tcW w:type="dxa" w:w="1152"/>
          </w:tcPr>
          <w:p>
            <w:r>
              <w:rPr>
                <w:sz w:val="19"/>
              </w:rPr>
              <w:t>0.3434</w:t>
            </w:r>
          </w:p>
        </w:tc>
        <w:tc>
          <w:tcPr>
            <w:tcW w:type="dxa" w:w="1008"/>
          </w:tcPr>
          <w:p>
            <w:r>
              <w:rPr>
                <w:sz w:val="19"/>
              </w:rPr>
              <w:t>0.3252</w:t>
            </w:r>
          </w:p>
        </w:tc>
        <w:tc>
          <w:tcPr>
            <w:tcW w:type="dxa" w:w="2448"/>
          </w:tcPr>
          <w:p>
            <w:r>
              <w:rPr>
                <w:sz w:val="19"/>
              </w:rPr>
              <w:t>—</w:t>
            </w:r>
          </w:p>
        </w:tc>
        <w:tc>
          <w:tcPr>
            <w:tcW w:type="dxa" w:w="2160"/>
          </w:tcPr>
          <w:p>
            <w:r>
              <w:rPr>
                <w:sz w:val="19"/>
              </w:rPr>
              <w:t>—</w:t>
            </w:r>
          </w:p>
        </w:tc>
        <w:tc>
          <w:tcPr>
            <w:tcW w:type="dxa" w:w="1872"/>
          </w:tcPr>
          <w:p>
            <w:r>
              <w:rPr>
                <w:sz w:val="19"/>
              </w:rPr>
              <w:t>1002</w:t>
            </w:r>
          </w:p>
        </w:tc>
      </w:tr>
      <w:tr>
        <w:tc>
          <w:tcPr>
            <w:tcW w:type="dxa" w:w="1728"/>
            <w:shd w:val="clear" w:color="auto" w:fill="FFF3CD"/>
          </w:tcPr>
          <w:p>
            <w:r>
              <w:rPr>
                <w:b/>
                <w:sz w:val="19"/>
              </w:rPr>
              <w:t>E-Commerce</w:t>
            </w:r>
          </w:p>
        </w:tc>
        <w:tc>
          <w:tcPr>
            <w:tcW w:type="dxa" w:w="2304"/>
            <w:shd w:val="clear" w:color="auto" w:fill="FFF3CD"/>
          </w:tcPr>
          <w:p>
            <w:r>
              <w:rPr>
                <w:b/>
                <w:sz w:val="19"/>
              </w:rPr>
              <w:t>XGBoost (tuned) ★</w:t>
            </w:r>
          </w:p>
        </w:tc>
        <w:tc>
          <w:tcPr>
            <w:tcW w:type="dxa" w:w="1152"/>
            <w:shd w:val="clear" w:color="auto" w:fill="FFF3CD"/>
          </w:tcPr>
          <w:p>
            <w:r>
              <w:rPr>
                <w:b/>
                <w:sz w:val="19"/>
              </w:rPr>
              <w:t>0.6286</w:t>
            </w:r>
          </w:p>
        </w:tc>
        <w:tc>
          <w:tcPr>
            <w:tcW w:type="dxa" w:w="1008"/>
            <w:shd w:val="clear" w:color="auto" w:fill="FFF3CD"/>
          </w:tcPr>
          <w:p>
            <w:r>
              <w:rPr>
                <w:b/>
                <w:sz w:val="19"/>
              </w:rPr>
              <w:t>0.6925</w:t>
            </w:r>
          </w:p>
        </w:tc>
        <w:tc>
          <w:tcPr>
            <w:tcW w:type="dxa" w:w="2448"/>
            <w:shd w:val="clear" w:color="auto" w:fill="FFF3CD"/>
          </w:tcPr>
          <w:p>
            <w:r>
              <w:rPr>
                <w:b/>
                <w:sz w:val="19"/>
              </w:rPr>
              <w:t>0.9743+/-0.0008</w:t>
            </w:r>
          </w:p>
        </w:tc>
        <w:tc>
          <w:tcPr>
            <w:tcW w:type="dxa" w:w="2160"/>
            <w:shd w:val="clear" w:color="auto" w:fill="FFF3CD"/>
          </w:tcPr>
          <w:p>
            <w:r>
              <w:rPr>
                <w:b/>
                <w:sz w:val="19"/>
              </w:rPr>
              <w:t>0.9208+/-0.0069</w:t>
            </w:r>
          </w:p>
        </w:tc>
        <w:tc>
          <w:tcPr>
            <w:tcW w:type="dxa" w:w="1872"/>
            <w:shd w:val="clear" w:color="auto" w:fill="FFF3CD"/>
          </w:tcPr>
          <w:p>
            <w:r>
              <w:rPr>
                <w:b/>
                <w:sz w:val="19"/>
              </w:rPr>
              <w:t>1295</w:t>
            </w:r>
          </w:p>
        </w:tc>
      </w:tr>
      <w:tr>
        <w:tc>
          <w:tcPr>
            <w:tcW w:type="dxa" w:w="1728"/>
          </w:tcPr>
          <w:p>
            <w:r>
              <w:rPr>
                <w:sz w:val="19"/>
              </w:rPr>
              <w:t>Credit Card</w:t>
            </w:r>
          </w:p>
        </w:tc>
        <w:tc>
          <w:tcPr>
            <w:tcW w:type="dxa" w:w="2304"/>
          </w:tcPr>
          <w:p>
            <w:r>
              <w:rPr>
                <w:sz w:val="19"/>
              </w:rPr>
              <w:t>Logistic Regression</w:t>
            </w:r>
          </w:p>
        </w:tc>
        <w:tc>
          <w:tcPr>
            <w:tcW w:type="dxa" w:w="1152"/>
          </w:tcPr>
          <w:p>
            <w:r>
              <w:rPr>
                <w:sz w:val="19"/>
              </w:rPr>
              <w:t>0.677</w:t>
            </w:r>
          </w:p>
        </w:tc>
        <w:tc>
          <w:tcPr>
            <w:tcW w:type="dxa" w:w="1008"/>
          </w:tcPr>
          <w:p>
            <w:r>
              <w:rPr>
                <w:sz w:val="19"/>
              </w:rPr>
              <w:t>0.1001</w:t>
            </w:r>
          </w:p>
        </w:tc>
        <w:tc>
          <w:tcPr>
            <w:tcW w:type="dxa" w:w="2448"/>
          </w:tcPr>
          <w:p>
            <w:r>
              <w:rPr>
                <w:sz w:val="19"/>
              </w:rPr>
              <w:t>—</w:t>
            </w:r>
          </w:p>
        </w:tc>
        <w:tc>
          <w:tcPr>
            <w:tcW w:type="dxa" w:w="2160"/>
          </w:tcPr>
          <w:p>
            <w:r>
              <w:rPr>
                <w:sz w:val="19"/>
              </w:rPr>
              <w:t>—</w:t>
            </w:r>
          </w:p>
        </w:tc>
        <w:tc>
          <w:tcPr>
            <w:tcW w:type="dxa" w:w="1872"/>
          </w:tcPr>
          <w:p>
            <w:r>
              <w:rPr>
                <w:sz w:val="19"/>
              </w:rPr>
              <w:t>12</w:t>
            </w:r>
          </w:p>
        </w:tc>
      </w:tr>
      <w:tr>
        <w:tc>
          <w:tcPr>
            <w:tcW w:type="dxa" w:w="1728"/>
            <w:shd w:val="clear" w:color="auto" w:fill="FFF3CD"/>
          </w:tcPr>
          <w:p>
            <w:r>
              <w:rPr>
                <w:b/>
                <w:sz w:val="19"/>
              </w:rPr>
              <w:t>Credit Card</w:t>
            </w:r>
          </w:p>
        </w:tc>
        <w:tc>
          <w:tcPr>
            <w:tcW w:type="dxa" w:w="2304"/>
            <w:shd w:val="clear" w:color="auto" w:fill="FFF3CD"/>
          </w:tcPr>
          <w:p>
            <w:r>
              <w:rPr>
                <w:b/>
                <w:sz w:val="19"/>
              </w:rPr>
              <w:t>XGBoost (tuned) ★</w:t>
            </w:r>
          </w:p>
        </w:tc>
        <w:tc>
          <w:tcPr>
            <w:tcW w:type="dxa" w:w="1152"/>
            <w:shd w:val="clear" w:color="auto" w:fill="FFF3CD"/>
          </w:tcPr>
          <w:p>
            <w:r>
              <w:rPr>
                <w:b/>
                <w:sz w:val="19"/>
              </w:rPr>
              <w:t>0.8097</w:t>
            </w:r>
          </w:p>
        </w:tc>
        <w:tc>
          <w:tcPr>
            <w:tcW w:type="dxa" w:w="1008"/>
            <w:shd w:val="clear" w:color="auto" w:fill="FFF3CD"/>
          </w:tcPr>
          <w:p>
            <w:r>
              <w:rPr>
                <w:b/>
                <w:sz w:val="19"/>
              </w:rPr>
              <w:t>0.7831</w:t>
            </w:r>
          </w:p>
        </w:tc>
        <w:tc>
          <w:tcPr>
            <w:tcW w:type="dxa" w:w="2448"/>
            <w:shd w:val="clear" w:color="auto" w:fill="FFF3CD"/>
          </w:tcPr>
          <w:p>
            <w:r>
              <w:rPr>
                <w:b/>
                <w:sz w:val="19"/>
              </w:rPr>
              <w:t>1.0000+/-0.0000</w:t>
            </w:r>
          </w:p>
        </w:tc>
        <w:tc>
          <w:tcPr>
            <w:tcW w:type="dxa" w:w="2160"/>
            <w:shd w:val="clear" w:color="auto" w:fill="FFF3CD"/>
          </w:tcPr>
          <w:p>
            <w:r>
              <w:rPr>
                <w:b/>
                <w:sz w:val="19"/>
              </w:rPr>
              <w:t>0.9998+/-0.0000</w:t>
            </w:r>
          </w:p>
        </w:tc>
        <w:tc>
          <w:tcPr>
            <w:tcW w:type="dxa" w:w="1872"/>
            <w:shd w:val="clear" w:color="auto" w:fill="FFF3CD"/>
          </w:tcPr>
          <w:p>
            <w:r>
              <w:rPr>
                <w:b/>
                <w:sz w:val="19"/>
              </w:rPr>
              <w:t>21</w:t>
            </w:r>
          </w:p>
        </w:tc>
      </w:tr>
    </w:tbl>
    <w:p/>
    <w:p>
      <w:pPr>
        <w:pStyle w:val="Heading1"/>
      </w:pPr>
      <w:r>
        <w:rPr>
          <w:color w:val="1A8917"/>
        </w:rPr>
        <w:t>7.  Feature Importance — XGBoost Built-In</w:t>
      </w:r>
    </w:p>
    <w:p>
      <w:r>
        <w:rPr>
          <w:sz w:val="21"/>
        </w:rPr>
        <w:t>XGBoost's gain-based feature importance measures how much each feature contributes to reducing prediction error across all trees. This provides a model-internal view before the more rigorous SHAP analysis in Task 3.</w:t>
      </w:r>
    </w:p>
    <w:p>
      <w:pPr>
        <w:jc w:val="center"/>
      </w:pPr>
      <w:r>
        <w:drawing>
          <wp:inline xmlns:a="http://schemas.openxmlformats.org/drawingml/2006/main" xmlns:pic="http://schemas.openxmlformats.org/drawingml/2006/picture">
            <wp:extent cx="5669280" cy="2390957"/>
            <wp:docPr id="4" name="Picture 4"/>
            <wp:cNvGraphicFramePr>
              <a:graphicFrameLocks noChangeAspect="1"/>
            </wp:cNvGraphicFramePr>
            <a:graphic>
              <a:graphicData uri="http://schemas.openxmlformats.org/drawingml/2006/picture">
                <pic:pic>
                  <pic:nvPicPr>
                    <pic:cNvPr id="0" name="figM5_feature_importance.png"/>
                    <pic:cNvPicPr/>
                  </pic:nvPicPr>
                  <pic:blipFill>
                    <a:blip r:embed="rId12"/>
                    <a:stretch>
                      <a:fillRect/>
                    </a:stretch>
                  </pic:blipFill>
                  <pic:spPr>
                    <a:xfrm>
                      <a:off x="0" y="0"/>
                      <a:ext cx="5669280" cy="2390957"/>
                    </a:xfrm>
                    <a:prstGeom prst="rect"/>
                  </pic:spPr>
                </pic:pic>
              </a:graphicData>
            </a:graphic>
          </wp:inline>
        </w:drawing>
      </w:r>
    </w:p>
    <w:p>
      <w:pPr>
        <w:jc w:val="center"/>
      </w:pPr>
      <w:r>
        <w:rPr>
          <w:i/>
          <w:color w:val="9B9B9B"/>
          <w:sz w:val="18"/>
        </w:rPr>
        <w:t>Figure 4 — Top 10 features by XGBoost gain importance. Red bar = most important feature. E-commerce: time_since_signup dominates. Credit card: V17/V14 dominate as expected from EDA.</w:t>
      </w:r>
    </w:p>
    <w:p/>
    <w:p>
      <w:pPr>
        <w:shd w:val="clear" w:color="auto" w:fill="F7F9FF"/>
      </w:pPr>
      <w:r>
        <w:rPr>
          <w:b/>
          <w:color w:val="0D6EFD"/>
        </w:rPr>
        <w:t xml:space="preserve">🔍  Preview of SHAP findings:  </w:t>
      </w:r>
      <w:r>
        <w:t>Built-in feature importance confirms our EDA signal hierarchy: time_since_signup leads in e-commerce; V17 and V14 lead in credit card. Task 3 will validate whether these are consistent across individual predictions or context-dependent using SHAP force plots.</w:t>
      </w:r>
    </w:p>
    <w:p/>
    <w:p>
      <w:pPr>
        <w:pStyle w:val="Heading1"/>
      </w:pPr>
      <w:r>
        <w:rPr>
          <w:color w:val="1A8917"/>
        </w:rPr>
        <w:t>8.  Model Selection — Justification</w:t>
      </w:r>
    </w:p>
    <w:p>
      <w:pPr>
        <w:shd w:val="clear" w:color="auto" w:fill="F7F9FF"/>
      </w:pPr>
      <w:r>
        <w:rPr>
          <w:b/>
          <w:color w:val="0D6EFD"/>
        </w:rPr>
        <w:t>Reason 1: Performance</w:t>
        <w:br/>
      </w:r>
      <w:r>
        <w:rPr>
          <w:sz w:val="21"/>
        </w:rPr>
        <w:t>XGBoost achieves higher AUC-PR (0.6286 vs 0.3434 on e-commerce; 0.8097 vs 0.677 on credit card) and higher F1 on both datasets.</w:t>
      </w:r>
    </w:p>
    <w:p/>
    <w:p>
      <w:pPr>
        <w:shd w:val="clear" w:color="auto" w:fill="F7F9FF"/>
      </w:pPr>
      <w:r>
        <w:rPr>
          <w:b/>
          <w:color w:val="0D6EFD"/>
        </w:rPr>
        <w:t>Reason 2: Fewer Missed Frauds</w:t>
        <w:br/>
      </w:r>
      <w:r>
        <w:rPr>
          <w:sz w:val="21"/>
        </w:rPr>
        <w:t>XGBoost produces fewer false negatives (1295 vs 1002 on e-commerce), meaning fewer fraudulent transactions slip through undetected.</w:t>
      </w:r>
    </w:p>
    <w:p/>
    <w:p>
      <w:pPr>
        <w:shd w:val="clear" w:color="auto" w:fill="F7F9FF"/>
      </w:pPr>
      <w:r>
        <w:rPr>
          <w:b/>
          <w:color w:val="0D6EFD"/>
        </w:rPr>
        <w:t>Reason 3: Cross-Validation Stability</w:t>
        <w:br/>
      </w:r>
      <w:r>
        <w:rPr>
          <w:sz w:val="21"/>
        </w:rPr>
        <w:t>Low standard deviation in CV AUC-PR confirms the model generalises reliably across unseen data folds — not overfitting to the SMOTE-augmented training set.</w:t>
      </w:r>
    </w:p>
    <w:p/>
    <w:p>
      <w:pPr>
        <w:shd w:val="clear" w:color="auto" w:fill="F7F9FF"/>
      </w:pPr>
      <w:r>
        <w:rPr>
          <w:b/>
          <w:color w:val="0D6EFD"/>
        </w:rPr>
        <w:t>Reason 4: Non-Linear Fraud Patterns</w:t>
        <w:br/>
      </w:r>
      <w:r>
        <w:rPr>
          <w:sz w:val="21"/>
        </w:rPr>
        <w:t>Fraud behaviour involves complex feature interactions (e.g. high purchase_value AND new account AND high-risk country). XGBoost captures these; Logistic Regression cannot.</w:t>
      </w:r>
    </w:p>
    <w:p/>
    <w:p>
      <w:pPr>
        <w:shd w:val="clear" w:color="auto" w:fill="F7F9FF"/>
      </w:pPr>
      <w:r>
        <w:rPr>
          <w:b/>
          <w:color w:val="0D6EFD"/>
        </w:rPr>
        <w:t>Reason 5: SHAP Compatibility</w:t>
        <w:br/>
      </w:r>
      <w:r>
        <w:rPr>
          <w:sz w:val="21"/>
        </w:rPr>
        <w:t>Despite being a black-box ensemble, XGBoost integrates directly with SHAP's TreeExplainer — providing fast, exact feature attribution for regulatory explainability.</w:t>
      </w:r>
    </w:p>
    <w:p/>
    <w:p>
      <w:pPr>
        <w:pStyle w:val="Heading1"/>
      </w:pPr>
      <w:r>
        <w:rPr>
          <w:color w:val="1A8917"/>
        </w:rPr>
        <w:t>9.  Next Steps — Task 3 (Final Submission)</w:t>
      </w:r>
    </w:p>
    <w:tbl>
      <w:tblPr>
        <w:tblStyle w:val="TableGrid"/>
        <w:tblW w:type="auto" w:w="0"/>
        <w:tblLook w:firstColumn="1" w:firstRow="1" w:lastColumn="0" w:lastRow="0" w:noHBand="0" w:noVBand="1" w:val="04A0"/>
      </w:tblPr>
      <w:tblGrid>
        <w:gridCol w:w="3022"/>
        <w:gridCol w:w="3022"/>
        <w:gridCol w:w="3022"/>
      </w:tblGrid>
      <w:tr>
        <w:tc>
          <w:tcPr>
            <w:tcW w:type="dxa" w:w="2304"/>
            <w:shd w:val="clear" w:color="auto" w:fill="2D6A4F"/>
          </w:tcPr>
          <w:p>
            <w:r>
              <w:rPr>
                <w:b/>
                <w:color w:val="FFFFFF"/>
                <w:sz w:val="19"/>
              </w:rPr>
              <w:t>Task</w:t>
            </w:r>
          </w:p>
        </w:tc>
        <w:tc>
          <w:tcPr>
            <w:tcW w:type="dxa" w:w="3744"/>
            <w:shd w:val="clear" w:color="auto" w:fill="2D6A4F"/>
          </w:tcPr>
          <w:p>
            <w:r>
              <w:rPr>
                <w:b/>
                <w:color w:val="FFFFFF"/>
                <w:sz w:val="19"/>
              </w:rPr>
              <w:t>Detail</w:t>
            </w:r>
          </w:p>
        </w:tc>
        <w:tc>
          <w:tcPr>
            <w:tcW w:type="dxa" w:w="3168"/>
            <w:shd w:val="clear" w:color="auto" w:fill="2D6A4F"/>
          </w:tcPr>
          <w:p>
            <w:r>
              <w:rPr>
                <w:b/>
                <w:color w:val="FFFFFF"/>
                <w:sz w:val="19"/>
              </w:rPr>
              <w:t>Deliverable</w:t>
            </w:r>
          </w:p>
        </w:tc>
      </w:tr>
      <w:tr>
        <w:tc>
          <w:tcPr>
            <w:tcW w:type="dxa" w:w="2304"/>
          </w:tcPr>
          <w:p>
            <w:r>
              <w:rPr>
                <w:sz w:val="19"/>
              </w:rPr>
              <w:t>SHAP summary plot</w:t>
            </w:r>
          </w:p>
        </w:tc>
        <w:tc>
          <w:tcPr>
            <w:tcW w:type="dxa" w:w="3744"/>
          </w:tcPr>
          <w:p>
            <w:r>
              <w:rPr>
                <w:sz w:val="19"/>
              </w:rPr>
              <w:t>Global feature importance via SHAP values on test set</w:t>
            </w:r>
          </w:p>
        </w:tc>
        <w:tc>
          <w:tcPr>
            <w:tcW w:type="dxa" w:w="3168"/>
          </w:tcPr>
          <w:p>
            <w:r>
              <w:rPr>
                <w:sz w:val="19"/>
              </w:rPr>
              <w:t>Bar + beeswarm plot per dataset</w:t>
            </w:r>
          </w:p>
        </w:tc>
      </w:tr>
      <w:tr>
        <w:tc>
          <w:tcPr>
            <w:tcW w:type="dxa" w:w="2304"/>
          </w:tcPr>
          <w:p>
            <w:r>
              <w:rPr>
                <w:sz w:val="19"/>
              </w:rPr>
              <w:t>SHAP force plots</w:t>
            </w:r>
          </w:p>
        </w:tc>
        <w:tc>
          <w:tcPr>
            <w:tcW w:type="dxa" w:w="3744"/>
          </w:tcPr>
          <w:p>
            <w:r>
              <w:rPr>
                <w:sz w:val="19"/>
              </w:rPr>
              <w:t>3 individual predictions: TP, FP, FN</w:t>
            </w:r>
          </w:p>
        </w:tc>
        <w:tc>
          <w:tcPr>
            <w:tcW w:type="dxa" w:w="3168"/>
          </w:tcPr>
          <w:p>
            <w:r>
              <w:rPr>
                <w:sz w:val="19"/>
              </w:rPr>
              <w:t>Force plot per case with annotation</w:t>
            </w:r>
          </w:p>
        </w:tc>
      </w:tr>
      <w:tr>
        <w:tc>
          <w:tcPr>
            <w:tcW w:type="dxa" w:w="2304"/>
          </w:tcPr>
          <w:p>
            <w:r>
              <w:rPr>
                <w:sz w:val="19"/>
              </w:rPr>
              <w:t>Built-in vs SHAP compare</w:t>
            </w:r>
          </w:p>
        </w:tc>
        <w:tc>
          <w:tcPr>
            <w:tcW w:type="dxa" w:w="3744"/>
          </w:tcPr>
          <w:p>
            <w:r>
              <w:rPr>
                <w:sz w:val="19"/>
              </w:rPr>
              <w:t>Validate gain importance against SHAP rank</w:t>
            </w:r>
          </w:p>
        </w:tc>
        <w:tc>
          <w:tcPr>
            <w:tcW w:type="dxa" w:w="3168"/>
          </w:tcPr>
          <w:p>
            <w:r>
              <w:rPr>
                <w:sz w:val="19"/>
              </w:rPr>
              <w:t>Comparison table</w:t>
            </w:r>
          </w:p>
        </w:tc>
      </w:tr>
      <w:tr>
        <w:tc>
          <w:tcPr>
            <w:tcW w:type="dxa" w:w="2304"/>
          </w:tcPr>
          <w:p>
            <w:r>
              <w:rPr>
                <w:sz w:val="19"/>
              </w:rPr>
              <w:t>Business recommendations</w:t>
            </w:r>
          </w:p>
        </w:tc>
        <w:tc>
          <w:tcPr>
            <w:tcW w:type="dxa" w:w="3744"/>
          </w:tcPr>
          <w:p>
            <w:r>
              <w:rPr>
                <w:sz w:val="19"/>
              </w:rPr>
              <w:t>≥3 actionable insights connected to SHAP values</w:t>
            </w:r>
          </w:p>
        </w:tc>
        <w:tc>
          <w:tcPr>
            <w:tcW w:type="dxa" w:w="3168"/>
          </w:tcPr>
          <w:p>
            <w:r>
              <w:rPr>
                <w:sz w:val="19"/>
              </w:rPr>
              <w:t>Recommendation list with SHAP evidence</w:t>
            </w:r>
          </w:p>
        </w:tc>
      </w:tr>
      <w:tr>
        <w:tc>
          <w:tcPr>
            <w:tcW w:type="dxa" w:w="2304"/>
          </w:tcPr>
          <w:p>
            <w:r>
              <w:rPr>
                <w:sz w:val="19"/>
              </w:rPr>
              <w:t>Final report</w:t>
            </w:r>
          </w:p>
        </w:tc>
        <w:tc>
          <w:tcPr>
            <w:tcW w:type="dxa" w:w="3744"/>
          </w:tcPr>
          <w:p>
            <w:r>
              <w:rPr>
                <w:sz w:val="19"/>
              </w:rPr>
              <w:t>End-to-end blog/PDF covering all three tasks</w:t>
            </w:r>
          </w:p>
        </w:tc>
        <w:tc>
          <w:tcPr>
            <w:tcW w:type="dxa" w:w="3168"/>
          </w:tcPr>
          <w:p>
            <w:r>
              <w:rPr>
                <w:sz w:val="19"/>
              </w:rPr>
              <w:t>Published report + final GitHub push</w:t>
            </w:r>
          </w:p>
        </w:tc>
      </w:tr>
    </w:tbl>
    <w:p/>
    <w:p>
      <w:r>
        <w:rPr>
          <w:color w:val="9B9B9B"/>
          <w:sz w:val="17"/>
        </w:rPr>
        <w:t>GitHub: https://github.com/maedotamha/Fraud-Cases   ·   Adey Innovations Inc.  ·  Interim Report 2  ·  June 2026</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