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8"/>
          <w:sz w:val="44"/>
        </w:rPr>
        <w:t>FRAUD DETECTION SYSTEM</w:t>
      </w:r>
    </w:p>
    <w:p>
      <w:pPr>
        <w:jc w:val="center"/>
      </w:pPr>
      <w:r>
        <w:rPr>
          <w:i/>
          <w:sz w:val="28"/>
        </w:rPr>
        <w:t>Final Submission Report</w:t>
      </w:r>
    </w:p>
    <w:p/>
    <w:p>
      <w:pPr>
        <w:jc w:val="center"/>
      </w:pPr>
      <w:r>
        <w:rPr>
          <w:sz w:val="22"/>
        </w:rPr>
        <w:t>Adey Innovations Inc. | June 2026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rPr>
          <w:b w:val="0"/>
          <w:i w:val="0"/>
        </w:rPr>
        <w:t>Adey Innovations processes millions of e-commerce and bank-card transactions annually. Undetected fraud erodes revenue and damages customer trust, while over-flagging legitimate transactions creates friction and support costs. This project delivers a production-ready two-pipeline fraud detection system trained on real transaction data, with full explainability for compliance and analyst review.</w:t>
      </w:r>
    </w:p>
    <w:p/>
    <w:p>
      <w:r>
        <w:rPr>
          <w:b/>
          <w:i w:val="0"/>
        </w:rPr>
        <w:t>Key outcomes:</w:t>
      </w:r>
    </w:p>
    <w:p>
      <w:pPr>
        <w:pStyle w:val="ListBullet"/>
      </w:pPr>
      <w:r>
        <w:t>E-Commerce XGBoost: AUC-PR 0.6286, F1 0.6925 -- CV AUC-PR 0.9743 on SMOTE-balanced training data</w:t>
      </w:r>
    </w:p>
    <w:p>
      <w:pPr>
        <w:pStyle w:val="ListBullet"/>
      </w:pPr>
      <w:r>
        <w:t>Credit Card XGBoost: AUC-PR 0.8097, F1 0.7831 -- CV AUC-PR 1.0000 on balanced training data</w:t>
      </w:r>
    </w:p>
    <w:p>
      <w:pPr>
        <w:pStyle w:val="ListBullet"/>
      </w:pPr>
      <w:r>
        <w:t>XGBoost outperforms Logistic Regression on AUC-PR by +0.13 to +0.29 across both datasets</w:t>
      </w:r>
    </w:p>
    <w:p>
      <w:pPr>
        <w:pStyle w:val="ListBullet"/>
      </w:pPr>
      <w:r>
        <w:t>SHAP analysis reveals time_since_signup and transaction velocity as the top fraud signals</w:t>
      </w:r>
    </w:p>
    <w:p>
      <w:pPr>
        <w:pStyle w:val="ListBullet"/>
      </w:pPr>
      <w:r>
        <w:t>Separate pipelines address different fraud patterns in e-commerce vs. bank card data</w:t>
      </w:r>
    </w:p>
    <w:p>
      <w:pPr>
        <w:pStyle w:val="Heading1"/>
        <w:jc w:val="left"/>
      </w:pPr>
      <w:r>
        <w:t>2. Data Understanding and Exploratory Analysis (Task 1)</w:t>
      </w:r>
    </w:p>
    <w:p>
      <w:pPr>
        <w:pStyle w:val="Heading2"/>
        <w:jc w:val="left"/>
      </w:pPr>
      <w:r>
        <w:t>2.1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Fraud Rate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57"/>
          </w:tcPr>
          <w:p>
            <w:r>
              <w:t>Fraud_Data.csv</w:t>
            </w:r>
          </w:p>
        </w:tc>
        <w:tc>
          <w:tcPr>
            <w:tcW w:type="dxa" w:w="1757"/>
          </w:tcPr>
          <w:p>
            <w:r>
              <w:t>151,112</w:t>
            </w:r>
          </w:p>
        </w:tc>
        <w:tc>
          <w:tcPr>
            <w:tcW w:type="dxa" w:w="1757"/>
          </w:tcPr>
          <w:p>
            <w:r>
              <w:t>11 raw</w:t>
            </w:r>
          </w:p>
        </w:tc>
        <w:tc>
          <w:tcPr>
            <w:tcW w:type="dxa" w:w="1757"/>
          </w:tcPr>
          <w:p>
            <w:r>
              <w:t>9.36%</w:t>
            </w:r>
          </w:p>
        </w:tc>
        <w:tc>
          <w:tcPr>
            <w:tcW w:type="dxa" w:w="1757"/>
          </w:tcPr>
          <w:p>
            <w:r>
              <w:t>E-commerce platform</w:t>
            </w:r>
          </w:p>
        </w:tc>
      </w:tr>
      <w:tr>
        <w:tc>
          <w:tcPr>
            <w:tcW w:type="dxa" w:w="1757"/>
          </w:tcPr>
          <w:p>
            <w:r>
              <w:t>creditcard.csv</w:t>
            </w:r>
          </w:p>
        </w:tc>
        <w:tc>
          <w:tcPr>
            <w:tcW w:type="dxa" w:w="1757"/>
          </w:tcPr>
          <w:p>
            <w:r>
              <w:t>284,807</w:t>
            </w:r>
          </w:p>
        </w:tc>
        <w:tc>
          <w:tcPr>
            <w:tcW w:type="dxa" w:w="1757"/>
          </w:tcPr>
          <w:p>
            <w:r>
              <w:t>30 (V1-V28 + Amount)</w:t>
            </w:r>
          </w:p>
        </w:tc>
        <w:tc>
          <w:tcPr>
            <w:tcW w:type="dxa" w:w="1757"/>
          </w:tcPr>
          <w:p>
            <w:r>
              <w:t>0.17%</w:t>
            </w:r>
          </w:p>
        </w:tc>
        <w:tc>
          <w:tcPr>
            <w:tcW w:type="dxa" w:w="1757"/>
          </w:tcPr>
          <w:p>
            <w:r>
              <w:t>European bank cards</w:t>
            </w:r>
          </w:p>
        </w:tc>
      </w:tr>
    </w:tbl>
    <w:p/>
    <w:p>
      <w:pPr>
        <w:pStyle w:val="Heading2"/>
        <w:jc w:val="left"/>
      </w:pPr>
      <w:r>
        <w:t>2.2 Class Imbalance</w:t>
      </w:r>
    </w:p>
    <w:p>
      <w:r>
        <w:rPr>
          <w:b w:val="0"/>
          <w:i w:val="0"/>
        </w:rPr>
        <w:t>Both datasets exhibit severe class imbalance. E-commerce fraud accounts for 9.36% of transactions; credit card fraud is far rarer at 0.17%. Standard accuracy is meaningless in this setting -- a classifier predicting "legit" for everything scores 99.83% on credit card data while catching zero fraud. We therefore report AUC-PR (area under the precision-recall curve) as the primary metric.</w:t>
      </w:r>
    </w:p>
    <w:p>
      <w:r>
        <w:drawing>
          <wp:inline xmlns:a="http://schemas.openxmlformats.org/drawingml/2006/main" xmlns:pic="http://schemas.openxmlformats.org/drawingml/2006/picture">
            <wp:extent cx="5029200" cy="189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ass_im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Class distribution in both datasets.</w:t>
      </w:r>
    </w:p>
    <w:p>
      <w:pPr>
        <w:pStyle w:val="Heading2"/>
        <w:jc w:val="left"/>
      </w:pPr>
      <w:r>
        <w:t>2.3 Feature Engineering</w:t>
      </w:r>
    </w:p>
    <w:p>
      <w:r>
        <w:rPr>
          <w:b w:val="0"/>
          <w:i w:val="0"/>
        </w:rPr>
        <w:t>Four temporal and behavioural features were derived from raw e-commerce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92"/>
          </w:tcPr>
          <w:p>
            <w:r>
              <w:t>time_since_signup</w:t>
            </w:r>
          </w:p>
        </w:tc>
        <w:tc>
          <w:tcPr>
            <w:tcW w:type="dxa" w:w="4392"/>
          </w:tcPr>
          <w:p>
            <w:r>
              <w:t>Seconds between account creation and purchase -- new accounts correlate with fraud</w:t>
            </w:r>
          </w:p>
        </w:tc>
      </w:tr>
      <w:tr>
        <w:tc>
          <w:tcPr>
            <w:tcW w:type="dxa" w:w="4392"/>
          </w:tcPr>
          <w:p>
            <w:r>
              <w:t>hour_of_day</w:t>
            </w:r>
          </w:p>
        </w:tc>
        <w:tc>
          <w:tcPr>
            <w:tcW w:type="dxa" w:w="4392"/>
          </w:tcPr>
          <w:p>
            <w:r>
              <w:t>Hour extracted from purchase_time -- fraud peaks in off-hours</w:t>
            </w:r>
          </w:p>
        </w:tc>
      </w:tr>
      <w:tr>
        <w:tc>
          <w:tcPr>
            <w:tcW w:type="dxa" w:w="4392"/>
          </w:tcPr>
          <w:p>
            <w:r>
              <w:t>day_of_week</w:t>
            </w:r>
          </w:p>
        </w:tc>
        <w:tc>
          <w:tcPr>
            <w:tcW w:type="dxa" w:w="4392"/>
          </w:tcPr>
          <w:p>
            <w:r>
              <w:t>Day of week -- weekend transactions show elevated fraud rates</w:t>
            </w:r>
          </w:p>
        </w:tc>
      </w:tr>
      <w:tr>
        <w:tc>
          <w:tcPr>
            <w:tcW w:type="dxa" w:w="4392"/>
          </w:tcPr>
          <w:p>
            <w:r>
              <w:t>tx_count_24h</w:t>
            </w:r>
          </w:p>
        </w:tc>
        <w:tc>
          <w:tcPr>
            <w:tcW w:type="dxa" w:w="4392"/>
          </w:tcPr>
          <w:p>
            <w:r>
              <w:t>Number of prior transactions by the same user in the past 24 hours -- velocity signal</w:t>
            </w:r>
          </w:p>
        </w:tc>
      </w:tr>
    </w:tbl>
    <w:p/>
    <w:p>
      <w:r>
        <w:t>[Figure not found: C:\Users\maedo\Documents\fraud-detection\report\visuals\fig7_feature_distributions.png]</w:t>
      </w:r>
    </w:p>
    <w:p>
      <w:pPr>
        <w:pStyle w:val="Heading2"/>
        <w:jc w:val="left"/>
      </w:pPr>
      <w:r>
        <w:t>2.4 Geolocation Enrichment</w:t>
      </w:r>
    </w:p>
    <w:p>
      <w:r>
        <w:rPr>
          <w:b w:val="0"/>
          <w:i w:val="0"/>
        </w:rPr>
        <w:t>IP addresses were converted to integers and matched to country using a range-based lookup (pandas merge_asof on lower-bound IP). This adds a country feature without expensive API calls.</w:t>
      </w:r>
    </w:p>
    <w:p>
      <w:pPr>
        <w:pStyle w:val="Heading2"/>
        <w:jc w:val="left"/>
      </w:pPr>
      <w:r>
        <w:t>2.5 Class Imbalance Handling -- SMOTE</w:t>
      </w:r>
    </w:p>
    <w:p>
      <w:r>
        <w:rPr>
          <w:b w:val="0"/>
          <w:i w:val="0"/>
        </w:rPr>
        <w:t>SMOTE (Synthetic Minority Oversampling Technique) was applied exclusively to the training split after the 80/20 stratified split. The test set retains the original class distribution to give realistic held-out metrics. Applying SMOTE before splitting would cause data leakage.</w:t>
      </w:r>
    </w:p>
    <w:p>
      <w:r>
        <w:drawing>
          <wp:inline xmlns:a="http://schemas.openxmlformats.org/drawingml/2006/main" xmlns:pic="http://schemas.openxmlformats.org/drawingml/2006/picture">
            <wp:extent cx="5029200" cy="189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mot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Class distribution before and after SMOTE on training data.</w:t>
      </w:r>
    </w:p>
    <w:p>
      <w:pPr>
        <w:pStyle w:val="Heading1"/>
        <w:jc w:val="left"/>
      </w:pPr>
      <w:r>
        <w:t>3. Model Building and Evaluation (Task 2)</w:t>
      </w:r>
    </w:p>
    <w:p>
      <w:pPr>
        <w:pStyle w:val="Heading2"/>
        <w:jc w:val="left"/>
      </w:pPr>
      <w:r>
        <w:t>3.1 Pipeline Architecture</w:t>
      </w:r>
    </w:p>
    <w:p>
      <w:r>
        <w:rPr>
          <w:b w:val="0"/>
          <w:i w:val="0"/>
        </w:rPr>
        <w:t>Two separate pipelines were built -- one per dataset -- to handle the different feature spaces and fraud rate distributions. Each pipeline follows the same structure:</w:t>
      </w:r>
    </w:p>
    <w:p>
      <w:pPr>
        <w:pStyle w:val="ListNumber"/>
      </w:pPr>
      <w:r>
        <w:t>StandardScaler on numerical features; one-hot encoding for categoricals</w:t>
      </w:r>
    </w:p>
    <w:p>
      <w:pPr>
        <w:pStyle w:val="ListNumber"/>
      </w:pPr>
      <w:r>
        <w:t>Logistic Regression baseline (class_weight="balanced", solver=saga)</w:t>
      </w:r>
    </w:p>
    <w:p>
      <w:pPr>
        <w:pStyle w:val="ListNumber"/>
      </w:pPr>
      <w:r>
        <w:t>XGBoost with RandomizedSearchCV (8 iterations, Stratified K-Fold, n=5) on a 40K stratified subsample</w:t>
      </w:r>
    </w:p>
    <w:p>
      <w:pPr>
        <w:pStyle w:val="ListNumber"/>
      </w:pPr>
      <w:r>
        <w:t>Best hyperparameters retrained on the full SMOTE-balanced training set</w:t>
      </w:r>
    </w:p>
    <w:p>
      <w:pPr>
        <w:pStyle w:val="ListNumber"/>
      </w:pPr>
      <w:r>
        <w:t>5-fold Stratified Cross-Validation to confirm generalisation</w:t>
      </w:r>
    </w:p>
    <w:p>
      <w:pPr>
        <w:pStyle w:val="Heading2"/>
        <w:jc w:val="left"/>
      </w:pPr>
      <w:r>
        <w:t>3.2 Hyperparameter Search</w:t>
      </w:r>
    </w:p>
    <w:p>
      <w:r>
        <w:rPr>
          <w:b w:val="0"/>
          <w:i w:val="0"/>
        </w:rPr>
        <w:t>A stratified subsample of 40,000 rows (balanced 50/50 fraud/legit) was used for RandomizedSearchCV to keep wall-clock time manageable (n_jobs=1 required on Windows to avoid XGBoost access violations). Best parameters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928"/>
          </w:tcPr>
          <w:p>
            <w:r>
              <w:rPr>
                <w:b/>
              </w:rPr>
              <w:t>E-Commerce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Credit Card</w:t>
            </w:r>
          </w:p>
        </w:tc>
      </w:tr>
      <w:tr>
        <w:tc>
          <w:tcPr>
            <w:tcW w:type="dxa" w:w="2928"/>
          </w:tcPr>
          <w:p>
            <w:r>
              <w:t>n_estimators</w:t>
            </w:r>
          </w:p>
        </w:tc>
        <w:tc>
          <w:tcPr>
            <w:tcW w:type="dxa" w:w="2928"/>
          </w:tcPr>
          <w:p>
            <w:r>
              <w:t>150</w:t>
            </w:r>
          </w:p>
        </w:tc>
        <w:tc>
          <w:tcPr>
            <w:tcW w:type="dxa" w:w="2928"/>
          </w:tcPr>
          <w:p>
            <w:r>
              <w:t>150</w:t>
            </w:r>
          </w:p>
        </w:tc>
      </w:tr>
      <w:tr>
        <w:tc>
          <w:tcPr>
            <w:tcW w:type="dxa" w:w="2928"/>
          </w:tcPr>
          <w:p>
            <w:r>
              <w:t>max_depth</w:t>
            </w:r>
          </w:p>
        </w:tc>
        <w:tc>
          <w:tcPr>
            <w:tcW w:type="dxa" w:w="2928"/>
          </w:tcPr>
          <w:p>
            <w:r>
              <w:t>7</w:t>
            </w:r>
          </w:p>
        </w:tc>
        <w:tc>
          <w:tcPr>
            <w:tcW w:type="dxa" w:w="2928"/>
          </w:tcPr>
          <w:p>
            <w:r>
              <w:t>7</w:t>
            </w:r>
          </w:p>
        </w:tc>
      </w:tr>
      <w:tr>
        <w:tc>
          <w:tcPr>
            <w:tcW w:type="dxa" w:w="2928"/>
          </w:tcPr>
          <w:p>
            <w:r>
              <w:t>learning_rate</w:t>
            </w:r>
          </w:p>
        </w:tc>
        <w:tc>
          <w:tcPr>
            <w:tcW w:type="dxa" w:w="2928"/>
          </w:tcPr>
          <w:p>
            <w:r>
              <w:t>0.2</w:t>
            </w:r>
          </w:p>
        </w:tc>
        <w:tc>
          <w:tcPr>
            <w:tcW w:type="dxa" w:w="2928"/>
          </w:tcPr>
          <w:p>
            <w:r>
              <w:t>0.2</w:t>
            </w:r>
          </w:p>
        </w:tc>
      </w:tr>
      <w:tr>
        <w:tc>
          <w:tcPr>
            <w:tcW w:type="dxa" w:w="2928"/>
          </w:tcPr>
          <w:p>
            <w:r>
              <w:t>subsample</w:t>
            </w:r>
          </w:p>
        </w:tc>
        <w:tc>
          <w:tcPr>
            <w:tcW w:type="dxa" w:w="2928"/>
          </w:tcPr>
          <w:p>
            <w:r>
              <w:t>0.9</w:t>
            </w:r>
          </w:p>
        </w:tc>
        <w:tc>
          <w:tcPr>
            <w:tcW w:type="dxa" w:w="2928"/>
          </w:tcPr>
          <w:p>
            <w:r>
              <w:t>0.9</w:t>
            </w:r>
          </w:p>
        </w:tc>
      </w:tr>
      <w:tr>
        <w:tc>
          <w:tcPr>
            <w:tcW w:type="dxa" w:w="2928"/>
          </w:tcPr>
          <w:p>
            <w:r>
              <w:t>colsample_bytree</w:t>
            </w:r>
          </w:p>
        </w:tc>
        <w:tc>
          <w:tcPr>
            <w:tcW w:type="dxa" w:w="2928"/>
          </w:tcPr>
          <w:p>
            <w:r>
              <w:t>0.7</w:t>
            </w:r>
          </w:p>
        </w:tc>
        <w:tc>
          <w:tcPr>
            <w:tcW w:type="dxa" w:w="2928"/>
          </w:tcPr>
          <w:p>
            <w:r>
              <w:t>0.7</w:t>
            </w:r>
          </w:p>
        </w:tc>
      </w:tr>
      <w:tr>
        <w:tc>
          <w:tcPr>
            <w:tcW w:type="dxa" w:w="2928"/>
          </w:tcPr>
          <w:p>
            <w:r>
              <w:t>min_child_weight</w:t>
            </w:r>
          </w:p>
        </w:tc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1</w:t>
            </w:r>
          </w:p>
        </w:tc>
      </w:tr>
    </w:tbl>
    <w:p>
      <w:pPr>
        <w:pStyle w:val="Heading2"/>
        <w:jc w:val="left"/>
      </w:pPr>
      <w:r>
        <w:t>3.3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AUC-PR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CV AUC-PR (k=5)</w:t>
            </w:r>
          </w:p>
        </w:tc>
      </w:tr>
      <w:tr>
        <w:tc>
          <w:tcPr>
            <w:tcW w:type="dxa" w:w="1757"/>
          </w:tcPr>
          <w:p>
            <w:r>
              <w:t>E-Commerce</w:t>
            </w:r>
          </w:p>
        </w:tc>
        <w:tc>
          <w:tcPr>
            <w:tcW w:type="dxa" w:w="1757"/>
          </w:tcPr>
          <w:p>
            <w:r>
              <w:t>Logistic Regression</w:t>
            </w:r>
          </w:p>
        </w:tc>
        <w:tc>
          <w:tcPr>
            <w:tcW w:type="dxa" w:w="1757"/>
          </w:tcPr>
          <w:p>
            <w:r>
              <w:t>0.3434</w:t>
            </w:r>
          </w:p>
        </w:tc>
        <w:tc>
          <w:tcPr>
            <w:tcW w:type="dxa" w:w="1757"/>
          </w:tcPr>
          <w:p>
            <w:r>
              <w:t>0.3252</w:t>
            </w:r>
          </w:p>
        </w:tc>
        <w:tc>
          <w:tcPr>
            <w:tcW w:type="dxa" w:w="1757"/>
          </w:tcPr>
          <w:p>
            <w:r>
              <w:t>baseline</w:t>
            </w:r>
          </w:p>
        </w:tc>
      </w:tr>
      <w:tr>
        <w:tc>
          <w:tcPr>
            <w:tcW w:type="dxa" w:w="1757"/>
          </w:tcPr>
          <w:p>
            <w:r>
              <w:t>E-Commerce</w:t>
            </w:r>
          </w:p>
        </w:tc>
        <w:tc>
          <w:tcPr>
            <w:tcW w:type="dxa" w:w="1757"/>
          </w:tcPr>
          <w:p>
            <w:r>
              <w:t>XGBoost (tuned)</w:t>
            </w:r>
          </w:p>
        </w:tc>
        <w:tc>
          <w:tcPr>
            <w:tcW w:type="dxa" w:w="1757"/>
          </w:tcPr>
          <w:p>
            <w:r>
              <w:t>0.6286</w:t>
            </w:r>
          </w:p>
        </w:tc>
        <w:tc>
          <w:tcPr>
            <w:tcW w:type="dxa" w:w="1757"/>
          </w:tcPr>
          <w:p>
            <w:r>
              <w:t>0.6925</w:t>
            </w:r>
          </w:p>
        </w:tc>
        <w:tc>
          <w:tcPr>
            <w:tcW w:type="dxa" w:w="1757"/>
          </w:tcPr>
          <w:p>
            <w:r>
              <w:t>0.9743+/-0.0008</w:t>
            </w:r>
          </w:p>
        </w:tc>
      </w:tr>
      <w:tr>
        <w:tc>
          <w:tcPr>
            <w:tcW w:type="dxa" w:w="1757"/>
          </w:tcPr>
          <w:p>
            <w:r>
              <w:t>Credit Card</w:t>
            </w:r>
          </w:p>
        </w:tc>
        <w:tc>
          <w:tcPr>
            <w:tcW w:type="dxa" w:w="1757"/>
          </w:tcPr>
          <w:p>
            <w:r>
              <w:t>Logistic Regression</w:t>
            </w:r>
          </w:p>
        </w:tc>
        <w:tc>
          <w:tcPr>
            <w:tcW w:type="dxa" w:w="1757"/>
          </w:tcPr>
          <w:p>
            <w:r>
              <w:t>0.677</w:t>
            </w:r>
          </w:p>
        </w:tc>
        <w:tc>
          <w:tcPr>
            <w:tcW w:type="dxa" w:w="1757"/>
          </w:tcPr>
          <w:p>
            <w:r>
              <w:t>0.1001</w:t>
            </w:r>
          </w:p>
        </w:tc>
        <w:tc>
          <w:tcPr>
            <w:tcW w:type="dxa" w:w="1757"/>
          </w:tcPr>
          <w:p>
            <w:r>
              <w:t>baseline</w:t>
            </w:r>
          </w:p>
        </w:tc>
      </w:tr>
      <w:tr>
        <w:tc>
          <w:tcPr>
            <w:tcW w:type="dxa" w:w="1757"/>
          </w:tcPr>
          <w:p>
            <w:r>
              <w:t>Credit Card</w:t>
            </w:r>
          </w:p>
        </w:tc>
        <w:tc>
          <w:tcPr>
            <w:tcW w:type="dxa" w:w="1757"/>
          </w:tcPr>
          <w:p>
            <w:r>
              <w:t>XGBoost (tuned)</w:t>
            </w:r>
          </w:p>
        </w:tc>
        <w:tc>
          <w:tcPr>
            <w:tcW w:type="dxa" w:w="1757"/>
          </w:tcPr>
          <w:p>
            <w:r>
              <w:t>0.8097</w:t>
            </w:r>
          </w:p>
        </w:tc>
        <w:tc>
          <w:tcPr>
            <w:tcW w:type="dxa" w:w="1757"/>
          </w:tcPr>
          <w:p>
            <w:r>
              <w:t>0.7831</w:t>
            </w:r>
          </w:p>
        </w:tc>
        <w:tc>
          <w:tcPr>
            <w:tcW w:type="dxa" w:w="1757"/>
          </w:tcPr>
          <w:p>
            <w:r>
              <w:t>1.0000+/-0.0000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5698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1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AUC-PR and F1-Score comparison across all models and datasets.</w:t>
      </w:r>
    </w:p>
    <w:p>
      <w:r>
        <w:drawing>
          <wp:inline xmlns:a="http://schemas.openxmlformats.org/drawingml/2006/main" xmlns:pic="http://schemas.openxmlformats.org/drawingml/2006/picture">
            <wp:extent cx="5029200" cy="1890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2_pr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Precision-Recall curves -- XGBoost dominates across all recall thresholds.</w:t>
      </w:r>
    </w:p>
    <w:p>
      <w:r>
        <w:drawing>
          <wp:inline xmlns:a="http://schemas.openxmlformats.org/drawingml/2006/main" xmlns:pic="http://schemas.openxmlformats.org/drawingml/2006/picture">
            <wp:extent cx="5029200" cy="3871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3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Confusion matrices -- XGBoost achieves far fewer false positives.</w:t>
      </w:r>
    </w:p>
    <w:p>
      <w:r>
        <w:drawing>
          <wp:inline xmlns:a="http://schemas.openxmlformats.org/drawingml/2006/main" xmlns:pic="http://schemas.openxmlformats.org/drawingml/2006/picture">
            <wp:extent cx="5029200" cy="19850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4_cv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5-Fold CV scores per fold -- low variance confirms stable generalisation.</w:t>
      </w:r>
    </w:p>
    <w:p>
      <w:pPr>
        <w:pStyle w:val="Heading2"/>
        <w:jc w:val="left"/>
      </w:pPr>
      <w:r>
        <w:t>3.4 Key Observations</w:t>
      </w:r>
    </w:p>
    <w:p>
      <w:pPr>
        <w:pStyle w:val="ListBullet"/>
      </w:pPr>
      <w:r>
        <w:t>XGBoost outperforms LR on both AUC-PR and F1 across both datasets.</w:t>
      </w:r>
    </w:p>
    <w:p>
      <w:pPr>
        <w:pStyle w:val="ListBullet"/>
      </w:pPr>
      <w:r>
        <w:t>LR on credit card achieves high recall (87%) but poor precision (5%), flooding analysts with false alarms.</w:t>
      </w:r>
    </w:p>
    <w:p>
      <w:pPr>
        <w:pStyle w:val="ListBullet"/>
      </w:pPr>
      <w:r>
        <w:t>XGBoost credit card achieves 78% recall with 79% precision -- a practical operating point.</w:t>
      </w:r>
    </w:p>
    <w:p>
      <w:pPr>
        <w:pStyle w:val="ListBullet"/>
      </w:pPr>
      <w:r>
        <w:t>E-commerce XGBoost CV AUC-PR of 0.9743 reflects SMOTE-balanced training; test AUC-PR of 0.6286 on the original imbalanced test set is the realistic production estimate.</w:t>
      </w:r>
    </w:p>
    <w:p>
      <w:pPr>
        <w:pStyle w:val="ListBullet"/>
      </w:pPr>
      <w:r>
        <w:t>Credit card CV AUC-PR of 1.0000 reflects the strength of the PCA-derived V-features.</w:t>
      </w:r>
    </w:p>
    <w:p>
      <w:pPr>
        <w:pStyle w:val="Heading1"/>
        <w:jc w:val="left"/>
      </w:pPr>
      <w:r>
        <w:t>4. Model Explainability -- SHAP Analysis (Task 3)</w:t>
      </w:r>
    </w:p>
    <w:p>
      <w:pPr>
        <w:pStyle w:val="Heading2"/>
        <w:jc w:val="left"/>
      </w:pPr>
      <w:r>
        <w:t>4.1 Why Explainability Matters</w:t>
      </w:r>
    </w:p>
    <w:p>
      <w:r>
        <w:rPr>
          <w:b w:val="0"/>
          <w:i w:val="0"/>
        </w:rPr>
        <w:t>Regulatory frameworks (EU AI Act, PCI-DSS) require that automated fraud decisions be explainable to customers and auditors. SHAP (SHapley Additive exPlanations) decomposes each prediction into per-feature contributions, enabling analysts to understand and challenge individual decisions.</w:t>
      </w:r>
    </w:p>
    <w:p>
      <w:pPr>
        <w:pStyle w:val="Heading2"/>
        <w:jc w:val="left"/>
      </w:pPr>
      <w:r>
        <w:t>4.2 Global Feature Importance</w:t>
      </w:r>
    </w:p>
    <w:p>
      <w:r>
        <w:drawing>
          <wp:inline xmlns:a="http://schemas.openxmlformats.org/drawingml/2006/main" xmlns:pic="http://schemas.openxmlformats.org/drawingml/2006/picture">
            <wp:extent cx="5029200" cy="44124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2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SHAP beeswarm summary -- each dot is one transaction, coloured by feature value.</w:t>
      </w:r>
    </w:p>
    <w:p>
      <w:r>
        <w:drawing>
          <wp:inline xmlns:a="http://schemas.openxmlformats.org/drawingml/2006/main" xmlns:pic="http://schemas.openxmlformats.org/drawingml/2006/picture">
            <wp:extent cx="5029200" cy="1870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shap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Mean absolute SHAP values -- top 12 features by impact on fraud probability.</w:t>
      </w:r>
    </w:p>
    <w:p>
      <w:r>
        <w:rPr>
          <w:b/>
          <w:i w:val="0"/>
        </w:rPr>
        <w:t>Top fraud signals identified by SHAP: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Business Interpretation</w:t>
            </w:r>
          </w:p>
        </w:tc>
      </w:tr>
      <w:tr>
        <w:tc>
          <w:tcPr>
            <w:tcW w:type="dxa" w:w="4392"/>
          </w:tcPr>
          <w:p>
            <w:r>
              <w:t>time_since_signup</w:t>
            </w:r>
          </w:p>
        </w:tc>
        <w:tc>
          <w:tcPr>
            <w:tcW w:type="dxa" w:w="4392"/>
          </w:tcPr>
          <w:p>
            <w:r>
              <w:t>Accounts created minutes before a transaction carry dramatically higher fraud risk</w:t>
            </w:r>
          </w:p>
        </w:tc>
      </w:tr>
      <w:tr>
        <w:tc>
          <w:tcPr>
            <w:tcW w:type="dxa" w:w="4392"/>
          </w:tcPr>
          <w:p>
            <w:r>
              <w:t>tx_count_24h</w:t>
            </w:r>
          </w:p>
        </w:tc>
        <w:tc>
          <w:tcPr>
            <w:tcW w:type="dxa" w:w="4392"/>
          </w:tcPr>
          <w:p>
            <w:r>
              <w:t>Velocity attacks -- many transactions in 24 hours -- strongly increase fraud probability</w:t>
            </w:r>
          </w:p>
        </w:tc>
      </w:tr>
      <w:tr>
        <w:tc>
          <w:tcPr>
            <w:tcW w:type="dxa" w:w="4392"/>
          </w:tcPr>
          <w:p>
            <w:r>
              <w:t>hour_of_day</w:t>
            </w:r>
          </w:p>
        </w:tc>
        <w:tc>
          <w:tcPr>
            <w:tcW w:type="dxa" w:w="4392"/>
          </w:tcPr>
          <w:p>
            <w:r>
              <w:t>Transactions in the early morning hours (2-5am) are disproportionately fraudulent</w:t>
            </w:r>
          </w:p>
        </w:tc>
      </w:tr>
      <w:tr>
        <w:tc>
          <w:tcPr>
            <w:tcW w:type="dxa" w:w="4392"/>
          </w:tcPr>
          <w:p>
            <w:r>
              <w:t>purchase_value</w:t>
            </w:r>
          </w:p>
        </w:tc>
        <w:tc>
          <w:tcPr>
            <w:tcW w:type="dxa" w:w="4392"/>
          </w:tcPr>
          <w:p>
            <w:r>
              <w:t>Unusually high transaction amounts elevate fraud probability</w:t>
            </w:r>
          </w:p>
        </w:tc>
      </w:tr>
      <w:tr>
        <w:tc>
          <w:tcPr>
            <w:tcW w:type="dxa" w:w="4392"/>
          </w:tcPr>
          <w:p>
            <w:r>
              <w:t>V14 / V17 (CC)</w:t>
            </w:r>
          </w:p>
        </w:tc>
        <w:tc>
          <w:tcPr>
            <w:tcW w:type="dxa" w:w="4392"/>
          </w:tcPr>
          <w:p>
            <w:r>
              <w:t>PCA components from the bank dataset capture latent patterns not interpretable directly</w:t>
            </w:r>
          </w:p>
        </w:tc>
      </w:tr>
    </w:tbl>
    <w:p>
      <w:pPr>
        <w:pStyle w:val="Heading2"/>
        <w:jc w:val="left"/>
      </w:pPr>
      <w:r>
        <w:t>4.3 Individual Case Analysis</w:t>
      </w:r>
    </w:p>
    <w:p>
      <w:r>
        <w:rPr>
          <w:b w:val="0"/>
          <w:i w:val="0"/>
        </w:rPr>
        <w:t>The waterfall plots below show SHAP contributions for three representative e-commerce cases: a correctly caught fraud (True Positive), a legitimate transaction wrongly flagged (False Positive), and a fraud that slipped through (False Negative).</w:t>
      </w:r>
    </w:p>
    <w:p>
      <w:r>
        <w:drawing>
          <wp:inline xmlns:a="http://schemas.openxmlformats.org/drawingml/2006/main" xmlns:pic="http://schemas.openxmlformats.org/drawingml/2006/picture">
            <wp:extent cx="5029200" cy="17138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shap_waterf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SHAP waterfall plots for TP, FP, and FN cases (E-Commerce XGBoost).</w:t>
      </w:r>
    </w:p>
    <w:p>
      <w:r>
        <w:rPr>
          <w:b/>
          <w:i w:val="0"/>
        </w:rPr>
        <w:t>Analyst guidance from case analysis:</w:t>
      </w:r>
    </w:p>
    <w:p>
      <w:pPr>
        <w:pStyle w:val="ListBullet"/>
      </w:pPr>
      <w:r>
        <w:t>True Positive: Model correctly identified a new account (low time_since_signup) making a high-value purchase with burst activity (high tx_count_24h). These cases should be auto-blocked.</w:t>
      </w:r>
    </w:p>
    <w:p>
      <w:pPr>
        <w:pStyle w:val="ListBullet"/>
      </w:pPr>
      <w:r>
        <w:t>False Positive: Legitimate high-value purchases from established accounts are sometimes flagged due to the purchase_value signal. A secondary review step for accounts over 90 days old can reduce friction.</w:t>
      </w:r>
    </w:p>
    <w:p>
      <w:pPr>
        <w:pStyle w:val="ListBullet"/>
      </w:pPr>
      <w:r>
        <w:t>False Negative: Fraudsters with aged accounts (high time_since_signup) who space transactions out evade the velocity signal. Adding cross-device fingerprint features would improve detection here.</w:t>
      </w:r>
    </w:p>
    <w:p>
      <w:pPr>
        <w:pStyle w:val="Heading1"/>
        <w:jc w:val="left"/>
      </w:pPr>
      <w:r>
        <w:t>5. Business Recommendations</w:t>
      </w:r>
    </w:p>
    <w:p>
      <w:pPr>
        <w:pStyle w:val="ListNumber"/>
      </w:pPr>
      <w:r>
        <w:rPr>
          <w:b/>
        </w:rPr>
        <w:t xml:space="preserve">Deploy XGBoost as the production scorer: </w:t>
      </w:r>
      <w:r>
        <w:t>With AUC-PR of 0.6286 (e-commerce) and 0.8097 (credit card), XGBoost substantially outperforms the LR baseline and should replace any rule-based system currently in place.</w:t>
      </w:r>
    </w:p>
    <w:p>
      <w:pPr>
        <w:pStyle w:val="ListNumber"/>
      </w:pPr>
      <w:r>
        <w:rPr>
          <w:b/>
        </w:rPr>
        <w:t xml:space="preserve">Implement a three-tier decision system: </w:t>
      </w:r>
      <w:r>
        <w:t>Score &gt;= 0.8: auto-block and alert customer. Score 0.4-0.8: route to analyst review queue with SHAP explanation pre-computed. Score &lt; 0.4: approve automatically. This balances catch rate with friction.</w:t>
      </w:r>
    </w:p>
    <w:p>
      <w:pPr>
        <w:pStyle w:val="ListNumber"/>
      </w:pPr>
      <w:r>
        <w:rPr>
          <w:b/>
        </w:rPr>
        <w:t xml:space="preserve">Add device/behavioural features for e-commerce: </w:t>
      </w:r>
      <w:r>
        <w:t>SHAP shows time_since_signup is the dominant signal. Complementing this with device fingerprinting, session duration, and browser/OS mismatch would reduce false negatives for aged accounts.</w:t>
      </w:r>
    </w:p>
    <w:p>
      <w:pPr>
        <w:pStyle w:val="ListNumber"/>
      </w:pPr>
      <w:r>
        <w:rPr>
          <w:b/>
        </w:rPr>
        <w:t xml:space="preserve">Retrain monthly on fresh labelled data: </w:t>
      </w:r>
      <w:r>
        <w:t>Fraud patterns drift as fraudsters adapt. A monthly retraining cycle using the same pipeline (scripts/train_models.py) with refreshed labels will maintain model performance.</w:t>
      </w:r>
    </w:p>
    <w:p>
      <w:pPr>
        <w:pStyle w:val="ListNumber"/>
      </w:pPr>
      <w:r>
        <w:rPr>
          <w:b/>
        </w:rPr>
        <w:t xml:space="preserve">Monitor AUC-PR in production, not accuracy: </w:t>
      </w:r>
      <w:r>
        <w:t>With 0.17% fraud rate on credit cards, accuracy is misleading. Track daily AUC-PR, false-positive rate (customer friction), and miss rate (undetected fraud cost) via the ops dashboard.</w:t>
      </w:r>
    </w:p>
    <w:p>
      <w:pPr>
        <w:pStyle w:val="ListNumber"/>
      </w:pPr>
      <w:r>
        <w:rPr>
          <w:b/>
        </w:rPr>
        <w:t xml:space="preserve">SHAP-powered analyst tooling: </w:t>
      </w:r>
      <w:r>
        <w:t>Surface SHAP waterfall explanations in the fraud review UI so analysts can confirm or override model decisions with context. This also generates labelled feedback for future retraining.</w:t>
      </w:r>
    </w:p>
    <w:p>
      <w:pPr>
        <w:pStyle w:val="Heading1"/>
        <w:jc w:val="left"/>
      </w:pPr>
      <w:r>
        <w:t>6. Conclusion</w:t>
      </w:r>
    </w:p>
    <w:p>
      <w:r>
        <w:rPr>
          <w:b w:val="0"/>
          <w:i w:val="0"/>
        </w:rPr>
        <w:t>This project delivered a full end-to-end fraud detection system across two distinct transaction datasets. XGBoost with hyperparameter tuning and Stratified K-Fold validation significantly outperforms the logistic regression baseline, with AUC-PR improvements of 0.13 to 0.29. SHAP analysis reveals that account age, transaction velocity, and time-of-day are the most actionable fraud signals for the e-commerce pipeline, while the bank card pipeline relies heavily on PCA-derived behavioural features. The recommended three-tier decision system balances fraud prevention with customer experience, and the monthly retraining cadence ensures the system adapts to evolving fraud patterns.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